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4EB30" w14:textId="77777777" w:rsidR="00C13A89" w:rsidRPr="007E7C6A" w:rsidRDefault="00C13A89" w:rsidP="00FC6EB4"/>
    <w:p w14:paraId="3D44EB31" w14:textId="77777777" w:rsidR="001F74A0" w:rsidRPr="007E7C6A" w:rsidRDefault="00291DF4" w:rsidP="00482F43">
      <w:pPr>
        <w:jc w:val="center"/>
        <w:rPr>
          <w:rFonts w:asciiTheme="minorHAnsi" w:hAnsiTheme="minorHAnsi" w:cstheme="minorHAnsi"/>
          <w:sz w:val="32"/>
          <w:szCs w:val="32"/>
        </w:rPr>
      </w:pPr>
      <w:r>
        <w:rPr>
          <w:noProof/>
          <w:sz w:val="26"/>
          <w:szCs w:val="26"/>
        </w:rPr>
        <w:object w:dxaOrig="1440" w:dyaOrig="1440" w14:anchorId="3D44EB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pt;margin-top:49.7pt;width:77.3pt;height:107.6pt;z-index:251657728;mso-wrap-edited:f;mso-width-percent:0;mso-height-percent:0;mso-position-vertical-relative:page;mso-width-percent:0;mso-height-percent:0" o:allowincell="f">
            <v:imagedata r:id="rId5" o:title=""/>
            <w10:wrap type="square" anchory="page"/>
          </v:shape>
          <o:OLEObject Type="Embed" ProgID="MSPhotoEd.3" ShapeID="_x0000_s1026" DrawAspect="Content" ObjectID="_1604061832" r:id="rId6"/>
        </w:object>
      </w:r>
      <w:r w:rsidR="00482F43" w:rsidRPr="007E7C6A">
        <w:rPr>
          <w:rFonts w:asciiTheme="minorHAnsi" w:hAnsiTheme="minorHAnsi" w:cstheme="minorHAnsi"/>
          <w:sz w:val="32"/>
          <w:szCs w:val="32"/>
        </w:rPr>
        <w:t>FORMULÁRIO DE COMENTÁRIOS E SUGESTÕES</w:t>
      </w:r>
    </w:p>
    <w:p w14:paraId="3D44EB32" w14:textId="77777777" w:rsidR="00C13A89" w:rsidRPr="007E7C6A" w:rsidRDefault="00C96874" w:rsidP="00BB004F">
      <w:pPr>
        <w:jc w:val="center"/>
        <w:rPr>
          <w:rFonts w:asciiTheme="minorHAnsi" w:hAnsiTheme="minorHAnsi" w:cstheme="minorHAnsi"/>
          <w:sz w:val="26"/>
          <w:szCs w:val="26"/>
        </w:rPr>
      </w:pPr>
      <w:r w:rsidRPr="007E7C6A">
        <w:rPr>
          <w:rFonts w:asciiTheme="minorHAnsi" w:hAnsiTheme="minorHAnsi" w:cstheme="minorHAnsi"/>
          <w:sz w:val="26"/>
          <w:szCs w:val="26"/>
        </w:rPr>
        <w:t xml:space="preserve">TOMADA PÚBLICA DE CONTRIBUIÇÕES </w:t>
      </w:r>
      <w:r w:rsidR="00482F43" w:rsidRPr="007E7C6A">
        <w:rPr>
          <w:rFonts w:asciiTheme="minorHAnsi" w:hAnsiTheme="minorHAnsi" w:cstheme="minorHAnsi"/>
          <w:sz w:val="26"/>
          <w:szCs w:val="26"/>
        </w:rPr>
        <w:t>N°</w:t>
      </w:r>
      <w:r w:rsidR="00C13A89" w:rsidRPr="007E7C6A">
        <w:rPr>
          <w:rFonts w:asciiTheme="minorHAnsi" w:hAnsiTheme="minorHAnsi" w:cstheme="minorHAnsi"/>
          <w:sz w:val="26"/>
          <w:szCs w:val="26"/>
        </w:rPr>
        <w:t xml:space="preserve"> </w:t>
      </w:r>
      <w:r w:rsidR="00D81C65" w:rsidRPr="007E7C6A">
        <w:rPr>
          <w:rFonts w:asciiTheme="minorHAnsi" w:hAnsiTheme="minorHAnsi" w:cstheme="minorHAnsi"/>
          <w:sz w:val="26"/>
          <w:szCs w:val="26"/>
        </w:rPr>
        <w:t>4/</w:t>
      </w:r>
      <w:r w:rsidR="00F229D8" w:rsidRPr="007E7C6A">
        <w:rPr>
          <w:rFonts w:asciiTheme="minorHAnsi" w:hAnsiTheme="minorHAnsi" w:cstheme="minorHAnsi"/>
          <w:sz w:val="26"/>
          <w:szCs w:val="26"/>
        </w:rPr>
        <w:t>201</w:t>
      </w:r>
      <w:r w:rsidR="00CC5472" w:rsidRPr="007E7C6A">
        <w:rPr>
          <w:rFonts w:asciiTheme="minorHAnsi" w:hAnsiTheme="minorHAnsi" w:cstheme="minorHAnsi"/>
          <w:sz w:val="26"/>
          <w:szCs w:val="26"/>
        </w:rPr>
        <w:t>8</w:t>
      </w:r>
      <w:r w:rsidR="00C13A89" w:rsidRPr="007E7C6A">
        <w:rPr>
          <w:rFonts w:asciiTheme="minorHAnsi" w:hAnsiTheme="minorHAnsi" w:cstheme="minorHAnsi"/>
          <w:sz w:val="26"/>
          <w:szCs w:val="26"/>
        </w:rPr>
        <w:t>__</w:t>
      </w:r>
      <w:r w:rsidR="00482F43" w:rsidRPr="007E7C6A">
        <w:rPr>
          <w:rFonts w:asciiTheme="minorHAnsi" w:hAnsiTheme="minorHAnsi" w:cstheme="minorHAnsi"/>
          <w:sz w:val="26"/>
          <w:szCs w:val="26"/>
        </w:rPr>
        <w:t xml:space="preserve">__ - </w:t>
      </w:r>
      <w:r w:rsidR="00BB004F" w:rsidRPr="007E7C6A">
        <w:rPr>
          <w:rFonts w:asciiTheme="minorHAnsi" w:hAnsiTheme="minorHAnsi" w:cstheme="minorHAnsi"/>
          <w:sz w:val="26"/>
          <w:szCs w:val="26"/>
        </w:rPr>
        <w:t xml:space="preserve">DE </w:t>
      </w:r>
      <w:r w:rsidR="00CA7174" w:rsidRPr="007E7C6A">
        <w:rPr>
          <w:rFonts w:asciiTheme="minorHAnsi" w:hAnsiTheme="minorHAnsi" w:cstheme="minorHAnsi"/>
          <w:sz w:val="26"/>
          <w:szCs w:val="26"/>
        </w:rPr>
        <w:t>21</w:t>
      </w:r>
      <w:r w:rsidR="00BB004F" w:rsidRPr="007E7C6A">
        <w:rPr>
          <w:rFonts w:asciiTheme="minorHAnsi" w:hAnsiTheme="minorHAnsi" w:cstheme="minorHAnsi"/>
          <w:sz w:val="26"/>
          <w:szCs w:val="26"/>
        </w:rPr>
        <w:t>/</w:t>
      </w:r>
      <w:r w:rsidR="00452D91" w:rsidRPr="007E7C6A">
        <w:rPr>
          <w:rFonts w:asciiTheme="minorHAnsi" w:hAnsiTheme="minorHAnsi" w:cstheme="minorHAnsi"/>
          <w:sz w:val="26"/>
          <w:szCs w:val="26"/>
        </w:rPr>
        <w:t>0</w:t>
      </w:r>
      <w:r w:rsidRPr="007E7C6A">
        <w:rPr>
          <w:rFonts w:asciiTheme="minorHAnsi" w:hAnsiTheme="minorHAnsi" w:cstheme="minorHAnsi"/>
          <w:sz w:val="26"/>
          <w:szCs w:val="26"/>
        </w:rPr>
        <w:t>9</w:t>
      </w:r>
      <w:r w:rsidR="00BB004F" w:rsidRPr="007E7C6A">
        <w:rPr>
          <w:rFonts w:asciiTheme="minorHAnsi" w:hAnsiTheme="minorHAnsi" w:cstheme="minorHAnsi"/>
          <w:sz w:val="26"/>
          <w:szCs w:val="26"/>
        </w:rPr>
        <w:t>/</w:t>
      </w:r>
      <w:r w:rsidR="00F229D8" w:rsidRPr="007E7C6A">
        <w:rPr>
          <w:rFonts w:asciiTheme="minorHAnsi" w:hAnsiTheme="minorHAnsi" w:cstheme="minorHAnsi"/>
          <w:sz w:val="26"/>
          <w:szCs w:val="26"/>
        </w:rPr>
        <w:t>201</w:t>
      </w:r>
      <w:r w:rsidR="00CC5472" w:rsidRPr="007E7C6A">
        <w:rPr>
          <w:rFonts w:asciiTheme="minorHAnsi" w:hAnsiTheme="minorHAnsi" w:cstheme="minorHAnsi"/>
          <w:sz w:val="26"/>
          <w:szCs w:val="26"/>
        </w:rPr>
        <w:t>8</w:t>
      </w:r>
      <w:r w:rsidR="00BB004F" w:rsidRPr="007E7C6A">
        <w:rPr>
          <w:rFonts w:asciiTheme="minorHAnsi" w:hAnsiTheme="minorHAnsi" w:cstheme="minorHAnsi"/>
          <w:sz w:val="26"/>
          <w:szCs w:val="26"/>
        </w:rPr>
        <w:t xml:space="preserve"> </w:t>
      </w:r>
      <w:r w:rsidR="00C13A89" w:rsidRPr="007E7C6A">
        <w:rPr>
          <w:rFonts w:asciiTheme="minorHAnsi" w:hAnsiTheme="minorHAnsi" w:cstheme="minorHAnsi"/>
          <w:sz w:val="26"/>
          <w:szCs w:val="26"/>
        </w:rPr>
        <w:t>a</w:t>
      </w:r>
      <w:r w:rsidR="00BB004F" w:rsidRPr="007E7C6A">
        <w:rPr>
          <w:rFonts w:asciiTheme="minorHAnsi" w:hAnsiTheme="minorHAnsi" w:cstheme="minorHAnsi"/>
          <w:sz w:val="26"/>
          <w:szCs w:val="26"/>
        </w:rPr>
        <w:t xml:space="preserve"> </w:t>
      </w:r>
      <w:r w:rsidR="00CA7174" w:rsidRPr="007E7C6A">
        <w:rPr>
          <w:rFonts w:asciiTheme="minorHAnsi" w:hAnsiTheme="minorHAnsi" w:cstheme="minorHAnsi"/>
          <w:sz w:val="26"/>
          <w:szCs w:val="26"/>
        </w:rPr>
        <w:t>20</w:t>
      </w:r>
      <w:r w:rsidR="00BB004F" w:rsidRPr="007E7C6A">
        <w:rPr>
          <w:rFonts w:asciiTheme="minorHAnsi" w:hAnsiTheme="minorHAnsi" w:cstheme="minorHAnsi"/>
          <w:sz w:val="26"/>
          <w:szCs w:val="26"/>
        </w:rPr>
        <w:t>/</w:t>
      </w:r>
      <w:r w:rsidRPr="007E7C6A">
        <w:rPr>
          <w:rFonts w:asciiTheme="minorHAnsi" w:hAnsiTheme="minorHAnsi" w:cstheme="minorHAnsi"/>
          <w:sz w:val="26"/>
          <w:szCs w:val="26"/>
        </w:rPr>
        <w:t>10</w:t>
      </w:r>
      <w:r w:rsidR="00BB004F" w:rsidRPr="007E7C6A">
        <w:rPr>
          <w:rFonts w:asciiTheme="minorHAnsi" w:hAnsiTheme="minorHAnsi" w:cstheme="minorHAnsi"/>
          <w:sz w:val="26"/>
          <w:szCs w:val="26"/>
        </w:rPr>
        <w:t>/</w:t>
      </w:r>
      <w:r w:rsidR="00F229D8" w:rsidRPr="007E7C6A">
        <w:rPr>
          <w:rFonts w:asciiTheme="minorHAnsi" w:hAnsiTheme="minorHAnsi" w:cstheme="minorHAnsi"/>
          <w:sz w:val="26"/>
          <w:szCs w:val="26"/>
        </w:rPr>
        <w:t>201</w:t>
      </w:r>
      <w:r w:rsidR="00CC5472" w:rsidRPr="007E7C6A">
        <w:rPr>
          <w:rFonts w:asciiTheme="minorHAnsi" w:hAnsiTheme="minorHAnsi" w:cstheme="minorHAnsi"/>
          <w:sz w:val="26"/>
          <w:szCs w:val="26"/>
        </w:rPr>
        <w:t>8</w:t>
      </w:r>
    </w:p>
    <w:p w14:paraId="3D44EB33" w14:textId="77777777" w:rsidR="007E7C6A" w:rsidRPr="00875232" w:rsidRDefault="007E7C6A" w:rsidP="007E7C6A">
      <w:pPr>
        <w:ind w:left="4111"/>
        <w:rPr>
          <w:rFonts w:asciiTheme="minorHAnsi" w:hAnsiTheme="minorHAnsi"/>
          <w:sz w:val="26"/>
          <w:szCs w:val="26"/>
        </w:rPr>
      </w:pPr>
      <w:r w:rsidRPr="00875232">
        <w:rPr>
          <w:rFonts w:asciiTheme="minorHAnsi" w:hAnsiTheme="minorHAnsi"/>
          <w:sz w:val="26"/>
          <w:szCs w:val="26"/>
        </w:rPr>
        <w:t>NOME:</w:t>
      </w:r>
      <w:r>
        <w:rPr>
          <w:rFonts w:asciiTheme="minorHAnsi" w:hAnsiTheme="minorHAnsi"/>
          <w:sz w:val="26"/>
          <w:szCs w:val="26"/>
        </w:rPr>
        <w:t xml:space="preserve"> </w:t>
      </w:r>
      <w:r w:rsidRPr="00875232">
        <w:rPr>
          <w:rFonts w:asciiTheme="minorHAnsi" w:hAnsiTheme="minorHAnsi" w:cstheme="minorHAnsi"/>
          <w:sz w:val="26"/>
          <w:szCs w:val="26"/>
        </w:rPr>
        <w:t>Federação Nacional das Distribuidoras de Combustíveis, Gás Natural e Biocombustíveis - BRASILCOM</w:t>
      </w:r>
    </w:p>
    <w:p w14:paraId="3D44EB34" w14:textId="77777777" w:rsidR="00100689" w:rsidRDefault="00100689" w:rsidP="00CF534B">
      <w:pPr>
        <w:ind w:left="4111"/>
        <w:jc w:val="center"/>
        <w:rPr>
          <w:sz w:val="26"/>
          <w:szCs w:val="26"/>
        </w:rPr>
      </w:pPr>
    </w:p>
    <w:tbl>
      <w:tblPr>
        <w:tblW w:w="14317" w:type="dxa"/>
        <w:tblInd w:w="-122" w:type="dxa"/>
        <w:tblCellMar>
          <w:left w:w="0" w:type="dxa"/>
          <w:right w:w="0" w:type="dxa"/>
        </w:tblCellMar>
        <w:tblLook w:val="0000" w:firstRow="0" w:lastRow="0" w:firstColumn="0" w:lastColumn="0" w:noHBand="0" w:noVBand="0"/>
      </w:tblPr>
      <w:tblGrid>
        <w:gridCol w:w="3261"/>
        <w:gridCol w:w="3897"/>
        <w:gridCol w:w="1489"/>
        <w:gridCol w:w="5670"/>
      </w:tblGrid>
      <w:tr w:rsidR="00BD5993" w14:paraId="3D44EB3A" w14:textId="77777777" w:rsidTr="00291DF4">
        <w:trPr>
          <w:trHeight w:val="375"/>
        </w:trPr>
        <w:tc>
          <w:tcPr>
            <w:tcW w:w="7158" w:type="dxa"/>
            <w:gridSpan w:val="2"/>
            <w:tcBorders>
              <w:left w:val="single" w:sz="4" w:space="0" w:color="auto"/>
              <w:bottom w:val="single" w:sz="4" w:space="0" w:color="auto"/>
            </w:tcBorders>
            <w:shd w:val="clear" w:color="auto" w:fill="FFFFFF"/>
            <w:tcMar>
              <w:top w:w="20" w:type="dxa"/>
              <w:left w:w="20" w:type="dxa"/>
              <w:bottom w:w="0" w:type="dxa"/>
              <w:right w:w="20" w:type="dxa"/>
            </w:tcMar>
            <w:vAlign w:val="center"/>
          </w:tcPr>
          <w:p w14:paraId="3D44EB35" w14:textId="77777777" w:rsidR="00BD5993" w:rsidRPr="00BD5993" w:rsidRDefault="00BD5993" w:rsidP="00BD5993">
            <w:pPr>
              <w:pStyle w:val="Caption"/>
              <w:jc w:val="both"/>
              <w:rPr>
                <w:rFonts w:cs="Arial"/>
                <w:color w:val="000000"/>
                <w:szCs w:val="24"/>
              </w:rPr>
            </w:pPr>
            <w:r>
              <w:rPr>
                <w:rFonts w:cs="Arial"/>
                <w:color w:val="000000"/>
                <w:szCs w:val="24"/>
              </w:rPr>
              <w:t xml:space="preserve">  </w:t>
            </w:r>
            <w:proofErr w:type="gramStart"/>
            <w:r w:rsidRPr="00BD5993">
              <w:rPr>
                <w:rFonts w:cs="Arial"/>
                <w:color w:val="000000"/>
                <w:szCs w:val="24"/>
              </w:rPr>
              <w:t>(  )</w:t>
            </w:r>
            <w:proofErr w:type="gramEnd"/>
            <w:r w:rsidRPr="00BD5993">
              <w:rPr>
                <w:rFonts w:cs="Arial"/>
                <w:color w:val="000000"/>
                <w:szCs w:val="24"/>
              </w:rPr>
              <w:t xml:space="preserve"> agente econômico </w:t>
            </w:r>
          </w:p>
          <w:p w14:paraId="3D44EB36" w14:textId="77777777" w:rsidR="00BD5993" w:rsidRPr="00BD5993" w:rsidRDefault="00BD5993" w:rsidP="00CF534B">
            <w:pPr>
              <w:rPr>
                <w:rFonts w:cs="Calibri"/>
                <w:color w:val="000000"/>
                <w:szCs w:val="24"/>
              </w:rPr>
            </w:pPr>
            <w:r>
              <w:rPr>
                <w:rFonts w:ascii="Arial" w:hAnsi="Arial" w:cs="Arial"/>
                <w:color w:val="000000"/>
                <w:sz w:val="24"/>
                <w:szCs w:val="24"/>
              </w:rPr>
              <w:t xml:space="preserve">  </w:t>
            </w:r>
            <w:proofErr w:type="gramStart"/>
            <w:r w:rsidRPr="00BD5993">
              <w:rPr>
                <w:rFonts w:ascii="Arial" w:hAnsi="Arial" w:cs="Arial"/>
                <w:color w:val="000000"/>
                <w:sz w:val="24"/>
                <w:szCs w:val="24"/>
              </w:rPr>
              <w:t>(  )</w:t>
            </w:r>
            <w:proofErr w:type="gramEnd"/>
            <w:r w:rsidRPr="00BD5993">
              <w:rPr>
                <w:rFonts w:ascii="Arial" w:hAnsi="Arial" w:cs="Arial"/>
                <w:color w:val="000000"/>
                <w:sz w:val="24"/>
                <w:szCs w:val="24"/>
              </w:rPr>
              <w:t xml:space="preserve"> consumidor ou usuário</w:t>
            </w:r>
          </w:p>
        </w:tc>
        <w:tc>
          <w:tcPr>
            <w:tcW w:w="7159" w:type="dxa"/>
            <w:gridSpan w:val="2"/>
            <w:tcBorders>
              <w:bottom w:val="single" w:sz="4" w:space="0" w:color="auto"/>
              <w:right w:val="single" w:sz="4" w:space="0" w:color="auto"/>
            </w:tcBorders>
            <w:shd w:val="clear" w:color="auto" w:fill="FFFFFF"/>
            <w:vAlign w:val="center"/>
          </w:tcPr>
          <w:p w14:paraId="3D44EB37" w14:textId="77777777" w:rsidR="00BD5993" w:rsidRPr="00BD5993" w:rsidRDefault="00BD5993" w:rsidP="00BD5993">
            <w:pPr>
              <w:pStyle w:val="Caption"/>
              <w:ind w:left="23"/>
              <w:jc w:val="both"/>
              <w:rPr>
                <w:rFonts w:cs="Arial"/>
                <w:color w:val="000000"/>
                <w:szCs w:val="24"/>
              </w:rPr>
            </w:pPr>
            <w:r>
              <w:rPr>
                <w:rFonts w:cs="Arial"/>
                <w:color w:val="000000"/>
                <w:szCs w:val="24"/>
              </w:rPr>
              <w:t xml:space="preserve">  </w:t>
            </w:r>
            <w:r w:rsidRPr="00BD5993">
              <w:rPr>
                <w:rFonts w:cs="Arial"/>
                <w:color w:val="000000"/>
                <w:szCs w:val="24"/>
              </w:rPr>
              <w:t>(</w:t>
            </w:r>
            <w:r w:rsidR="007E7C6A">
              <w:rPr>
                <w:rFonts w:cs="Arial"/>
                <w:color w:val="000000"/>
                <w:szCs w:val="24"/>
              </w:rPr>
              <w:t>X</w:t>
            </w:r>
            <w:r w:rsidRPr="00BD5993">
              <w:rPr>
                <w:rFonts w:cs="Arial"/>
                <w:color w:val="000000"/>
                <w:szCs w:val="24"/>
              </w:rPr>
              <w:t>) representante órgão de classe ou associação</w:t>
            </w:r>
          </w:p>
          <w:p w14:paraId="3D44EB38" w14:textId="77777777" w:rsidR="00BD5993" w:rsidRPr="00BD5993" w:rsidRDefault="00BD5993" w:rsidP="00BD5993">
            <w:pPr>
              <w:pStyle w:val="Caption"/>
              <w:ind w:left="23"/>
              <w:jc w:val="both"/>
              <w:rPr>
                <w:rFonts w:cs="Arial"/>
                <w:color w:val="000000"/>
                <w:szCs w:val="24"/>
              </w:rPr>
            </w:pPr>
            <w:r>
              <w:rPr>
                <w:rFonts w:cs="Arial"/>
                <w:color w:val="000000"/>
                <w:szCs w:val="24"/>
              </w:rPr>
              <w:t xml:space="preserve">  </w:t>
            </w:r>
            <w:proofErr w:type="gramStart"/>
            <w:r w:rsidRPr="00BD5993">
              <w:rPr>
                <w:rFonts w:cs="Arial"/>
                <w:color w:val="000000"/>
                <w:szCs w:val="24"/>
              </w:rPr>
              <w:t>(  )</w:t>
            </w:r>
            <w:proofErr w:type="gramEnd"/>
            <w:r w:rsidRPr="00BD5993">
              <w:rPr>
                <w:rFonts w:cs="Arial"/>
                <w:color w:val="000000"/>
                <w:szCs w:val="24"/>
              </w:rPr>
              <w:t xml:space="preserve"> representante de instituição governamental</w:t>
            </w:r>
          </w:p>
          <w:p w14:paraId="3D44EB39" w14:textId="77777777" w:rsidR="00BD5993" w:rsidRPr="00BD5993" w:rsidRDefault="00BD5993" w:rsidP="00100689">
            <w:pPr>
              <w:rPr>
                <w:rFonts w:cs="Calibri"/>
                <w:color w:val="000000"/>
                <w:szCs w:val="24"/>
              </w:rPr>
            </w:pPr>
            <w:r>
              <w:rPr>
                <w:rFonts w:ascii="Arial" w:hAnsi="Arial" w:cs="Arial"/>
                <w:color w:val="000000"/>
                <w:sz w:val="24"/>
                <w:szCs w:val="24"/>
              </w:rPr>
              <w:t xml:space="preserve">  </w:t>
            </w:r>
            <w:proofErr w:type="gramStart"/>
            <w:r w:rsidRPr="00BD5993">
              <w:rPr>
                <w:rFonts w:ascii="Arial" w:hAnsi="Arial" w:cs="Arial"/>
                <w:color w:val="000000"/>
                <w:sz w:val="24"/>
                <w:szCs w:val="24"/>
              </w:rPr>
              <w:t>(  )</w:t>
            </w:r>
            <w:proofErr w:type="gramEnd"/>
            <w:r w:rsidRPr="00BD5993">
              <w:rPr>
                <w:rFonts w:ascii="Arial" w:hAnsi="Arial" w:cs="Arial"/>
                <w:color w:val="000000"/>
                <w:sz w:val="24"/>
                <w:szCs w:val="24"/>
              </w:rPr>
              <w:t xml:space="preserve"> representante de órgãos de defesa do consumido</w:t>
            </w:r>
            <w:r>
              <w:rPr>
                <w:rFonts w:ascii="Arial" w:hAnsi="Arial" w:cs="Arial"/>
                <w:color w:val="000000"/>
                <w:sz w:val="24"/>
                <w:szCs w:val="24"/>
              </w:rPr>
              <w:t>r</w:t>
            </w:r>
          </w:p>
        </w:tc>
      </w:tr>
      <w:tr w:rsidR="004602FD" w14:paraId="3D44EB3C" w14:textId="77777777" w:rsidTr="00335A11">
        <w:trPr>
          <w:trHeight w:val="716"/>
        </w:trPr>
        <w:tc>
          <w:tcPr>
            <w:tcW w:w="14317" w:type="dxa"/>
            <w:gridSpan w:val="4"/>
            <w:tcBorders>
              <w:top w:val="single" w:sz="4" w:space="0" w:color="auto"/>
              <w:left w:val="single" w:sz="4" w:space="0" w:color="auto"/>
              <w:bottom w:val="single" w:sz="4" w:space="0" w:color="auto"/>
              <w:right w:val="single" w:sz="4" w:space="0" w:color="auto"/>
            </w:tcBorders>
            <w:shd w:val="clear" w:color="auto" w:fill="70B56B"/>
            <w:tcMar>
              <w:top w:w="20" w:type="dxa"/>
              <w:left w:w="20" w:type="dxa"/>
              <w:bottom w:w="0" w:type="dxa"/>
              <w:right w:w="20" w:type="dxa"/>
            </w:tcMar>
            <w:vAlign w:val="center"/>
          </w:tcPr>
          <w:p w14:paraId="3D44EB3B" w14:textId="77777777" w:rsidR="00BB004F" w:rsidRPr="00BD5993" w:rsidRDefault="00153BBA" w:rsidP="00CC5472">
            <w:pPr>
              <w:autoSpaceDE w:val="0"/>
              <w:autoSpaceDN w:val="0"/>
              <w:adjustRightInd w:val="0"/>
              <w:spacing w:line="300" w:lineRule="exact"/>
              <w:jc w:val="both"/>
              <w:rPr>
                <w:rFonts w:ascii="Arial" w:hAnsi="Arial" w:cs="Arial"/>
                <w:bCs/>
                <w:sz w:val="28"/>
                <w:szCs w:val="28"/>
              </w:rPr>
            </w:pPr>
            <w:r>
              <w:rPr>
                <w:rFonts w:ascii="Arial" w:hAnsi="Arial" w:cs="Arial"/>
                <w:bCs/>
                <w:sz w:val="28"/>
                <w:szCs w:val="28"/>
              </w:rPr>
              <w:t>Tomada Pública de Contribuições sobre a tutela regulatória da fidelidade à bandeira</w:t>
            </w:r>
            <w:r w:rsidR="00CC5472" w:rsidRPr="00CC5472">
              <w:rPr>
                <w:rFonts w:ascii="Arial" w:hAnsi="Arial" w:cs="Arial"/>
                <w:bCs/>
                <w:sz w:val="28"/>
                <w:szCs w:val="28"/>
              </w:rPr>
              <w:t>.</w:t>
            </w:r>
          </w:p>
        </w:tc>
      </w:tr>
      <w:tr w:rsidR="00C13A89" w14:paraId="3D44EB40" w14:textId="77777777" w:rsidTr="00291DF4">
        <w:trPr>
          <w:trHeight w:val="330"/>
        </w:trPr>
        <w:tc>
          <w:tcPr>
            <w:tcW w:w="3261" w:type="dxa"/>
            <w:tcBorders>
              <w:top w:val="single" w:sz="4" w:space="0" w:color="auto"/>
              <w:left w:val="single" w:sz="4" w:space="0" w:color="auto"/>
              <w:bottom w:val="single" w:sz="4" w:space="0" w:color="000000" w:themeColor="text1"/>
              <w:right w:val="single" w:sz="4" w:space="0" w:color="auto"/>
            </w:tcBorders>
            <w:shd w:val="clear" w:color="auto" w:fill="C2D69B"/>
            <w:tcMar>
              <w:top w:w="20" w:type="dxa"/>
              <w:left w:w="20" w:type="dxa"/>
              <w:bottom w:w="0" w:type="dxa"/>
              <w:right w:w="20" w:type="dxa"/>
            </w:tcMar>
            <w:vAlign w:val="center"/>
          </w:tcPr>
          <w:p w14:paraId="3D44EB3D" w14:textId="77777777" w:rsidR="00C13A89" w:rsidRPr="00BB004F" w:rsidRDefault="00C96874" w:rsidP="00ED7714">
            <w:pPr>
              <w:jc w:val="center"/>
              <w:rPr>
                <w:rFonts w:ascii="Arial" w:eastAsia="Arial Unicode MS" w:hAnsi="Arial" w:cs="Arial"/>
                <w:bCs/>
                <w:sz w:val="24"/>
                <w:szCs w:val="24"/>
              </w:rPr>
            </w:pPr>
            <w:r>
              <w:rPr>
                <w:rFonts w:ascii="Arial" w:hAnsi="Arial" w:cs="Arial"/>
                <w:bCs/>
              </w:rPr>
              <w:t>ASSUNTO</w:t>
            </w:r>
          </w:p>
        </w:tc>
        <w:tc>
          <w:tcPr>
            <w:tcW w:w="5386" w:type="dxa"/>
            <w:gridSpan w:val="2"/>
            <w:tcBorders>
              <w:top w:val="single" w:sz="4" w:space="0" w:color="auto"/>
              <w:left w:val="nil"/>
              <w:bottom w:val="single" w:sz="4" w:space="0" w:color="000000" w:themeColor="text1"/>
              <w:right w:val="single" w:sz="4" w:space="0" w:color="auto"/>
            </w:tcBorders>
            <w:shd w:val="clear" w:color="auto" w:fill="C2D69B"/>
            <w:tcMar>
              <w:top w:w="20" w:type="dxa"/>
              <w:left w:w="20" w:type="dxa"/>
              <w:bottom w:w="0" w:type="dxa"/>
              <w:right w:w="20" w:type="dxa"/>
            </w:tcMar>
            <w:vAlign w:val="center"/>
          </w:tcPr>
          <w:p w14:paraId="3D44EB3E" w14:textId="77777777" w:rsidR="00C13A89" w:rsidRPr="00BB004F" w:rsidRDefault="00C13A89" w:rsidP="00C96874">
            <w:pPr>
              <w:jc w:val="center"/>
              <w:rPr>
                <w:rFonts w:ascii="Arial" w:eastAsia="Arial Unicode MS" w:hAnsi="Arial" w:cs="Arial"/>
                <w:bCs/>
                <w:sz w:val="24"/>
                <w:szCs w:val="24"/>
              </w:rPr>
            </w:pPr>
            <w:r w:rsidRPr="00BB004F">
              <w:rPr>
                <w:rFonts w:ascii="Arial" w:hAnsi="Arial" w:cs="Arial"/>
                <w:bCs/>
              </w:rPr>
              <w:t>PROPOSTA</w:t>
            </w:r>
          </w:p>
        </w:tc>
        <w:tc>
          <w:tcPr>
            <w:tcW w:w="5670" w:type="dxa"/>
            <w:tcBorders>
              <w:top w:val="single" w:sz="4" w:space="0" w:color="auto"/>
              <w:left w:val="nil"/>
              <w:bottom w:val="single" w:sz="4" w:space="0" w:color="000000" w:themeColor="text1"/>
              <w:right w:val="single" w:sz="4" w:space="0" w:color="auto"/>
            </w:tcBorders>
            <w:shd w:val="clear" w:color="auto" w:fill="C2D69B"/>
            <w:tcMar>
              <w:top w:w="20" w:type="dxa"/>
              <w:left w:w="20" w:type="dxa"/>
              <w:bottom w:w="0" w:type="dxa"/>
              <w:right w:w="20" w:type="dxa"/>
            </w:tcMar>
            <w:vAlign w:val="center"/>
          </w:tcPr>
          <w:p w14:paraId="3D44EB3F" w14:textId="77777777" w:rsidR="00C13A89" w:rsidRPr="00BB004F" w:rsidRDefault="00C13A89" w:rsidP="00ED7714">
            <w:pPr>
              <w:jc w:val="center"/>
              <w:rPr>
                <w:rFonts w:ascii="Arial" w:eastAsia="Arial Unicode MS" w:hAnsi="Arial" w:cs="Arial"/>
                <w:bCs/>
                <w:sz w:val="24"/>
                <w:szCs w:val="24"/>
              </w:rPr>
            </w:pPr>
            <w:r w:rsidRPr="00BB004F">
              <w:rPr>
                <w:rFonts w:ascii="Arial" w:hAnsi="Arial" w:cs="Arial"/>
                <w:bCs/>
              </w:rPr>
              <w:t>JUSTIFICATIVA</w:t>
            </w:r>
          </w:p>
        </w:tc>
      </w:tr>
      <w:tr w:rsidR="00291DF4" w14:paraId="18A9BC9A" w14:textId="77777777" w:rsidTr="00291DF4">
        <w:trPr>
          <w:trHeight w:val="330"/>
        </w:trPr>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20" w:type="dxa"/>
              <w:left w:w="20" w:type="dxa"/>
              <w:bottom w:w="0" w:type="dxa"/>
              <w:right w:w="20" w:type="dxa"/>
            </w:tcMar>
            <w:vAlign w:val="center"/>
          </w:tcPr>
          <w:p w14:paraId="6A7D5E02" w14:textId="77777777" w:rsidR="00291DF4" w:rsidRDefault="00291DF4" w:rsidP="00291DF4">
            <w:pPr>
              <w:jc w:val="center"/>
              <w:rPr>
                <w:rFonts w:asciiTheme="minorHAnsi" w:hAnsiTheme="minorHAnsi" w:cstheme="minorHAnsi"/>
                <w:bCs/>
                <w:color w:val="000000"/>
              </w:rPr>
            </w:pPr>
            <w:r w:rsidRPr="00747263">
              <w:rPr>
                <w:rFonts w:asciiTheme="minorHAnsi" w:hAnsiTheme="minorHAnsi" w:cstheme="minorHAnsi"/>
                <w:bCs/>
                <w:color w:val="000000"/>
              </w:rPr>
              <w:lastRenderedPageBreak/>
              <w:t>Defesa do Consumidor</w:t>
            </w:r>
          </w:p>
          <w:p w14:paraId="668C6C42" w14:textId="77777777" w:rsidR="00291DF4" w:rsidRPr="00747263" w:rsidRDefault="00291DF4" w:rsidP="00291DF4">
            <w:pPr>
              <w:jc w:val="center"/>
              <w:rPr>
                <w:rFonts w:asciiTheme="minorHAnsi" w:hAnsiTheme="minorHAnsi" w:cstheme="minorHAnsi"/>
                <w:bCs/>
                <w:color w:val="000000"/>
              </w:rPr>
            </w:pPr>
          </w:p>
          <w:p w14:paraId="342211A5" w14:textId="77777777" w:rsidR="00291DF4" w:rsidRDefault="00291DF4" w:rsidP="00291DF4">
            <w:pPr>
              <w:jc w:val="center"/>
              <w:rPr>
                <w:rFonts w:asciiTheme="minorHAnsi" w:hAnsiTheme="minorHAnsi" w:cstheme="minorHAnsi"/>
              </w:rPr>
            </w:pPr>
            <w:r>
              <w:rPr>
                <w:rFonts w:asciiTheme="minorHAnsi" w:hAnsiTheme="minorHAnsi" w:cstheme="minorHAnsi"/>
              </w:rPr>
              <w:t>F</w:t>
            </w:r>
            <w:r w:rsidRPr="00747263">
              <w:rPr>
                <w:rFonts w:asciiTheme="minorHAnsi" w:hAnsiTheme="minorHAnsi" w:cstheme="minorHAnsi"/>
              </w:rPr>
              <w:t>iscalização do setor público sobre o contrato privado entre distribuidores e revendedores;</w:t>
            </w:r>
          </w:p>
          <w:p w14:paraId="1A0BAF7A" w14:textId="77777777" w:rsidR="00291DF4" w:rsidRDefault="00291DF4" w:rsidP="00291DF4">
            <w:pPr>
              <w:jc w:val="center"/>
              <w:rPr>
                <w:rFonts w:asciiTheme="minorHAnsi" w:hAnsiTheme="minorHAnsi" w:cstheme="minorHAnsi"/>
              </w:rPr>
            </w:pPr>
          </w:p>
          <w:p w14:paraId="4D578834" w14:textId="77777777" w:rsidR="00291DF4" w:rsidRDefault="00291DF4" w:rsidP="00291DF4">
            <w:pPr>
              <w:jc w:val="center"/>
              <w:rPr>
                <w:rFonts w:asciiTheme="minorHAnsi" w:hAnsiTheme="minorHAnsi" w:cstheme="minorHAnsi"/>
              </w:rPr>
            </w:pPr>
            <w:r>
              <w:rPr>
                <w:rFonts w:asciiTheme="minorHAnsi" w:hAnsiTheme="minorHAnsi" w:cstheme="minorHAnsi"/>
              </w:rPr>
              <w:t>F</w:t>
            </w:r>
            <w:r w:rsidRPr="001634DC">
              <w:rPr>
                <w:rFonts w:asciiTheme="minorHAnsi" w:hAnsiTheme="minorHAnsi" w:cstheme="minorHAnsi"/>
              </w:rPr>
              <w:t>iscalização pela ANP da utilização da marca;</w:t>
            </w:r>
          </w:p>
          <w:p w14:paraId="3211052A" w14:textId="77777777" w:rsidR="00291DF4" w:rsidRDefault="00291DF4" w:rsidP="00291DF4">
            <w:pPr>
              <w:jc w:val="center"/>
              <w:rPr>
                <w:rFonts w:asciiTheme="minorHAnsi" w:hAnsiTheme="minorHAnsi" w:cstheme="minorHAnsi"/>
              </w:rPr>
            </w:pPr>
          </w:p>
          <w:p w14:paraId="51FFE0AB" w14:textId="77777777" w:rsidR="00291DF4" w:rsidRPr="00F84BAF" w:rsidRDefault="00291DF4" w:rsidP="00291DF4">
            <w:pPr>
              <w:jc w:val="center"/>
              <w:rPr>
                <w:rFonts w:asciiTheme="minorHAnsi" w:hAnsiTheme="minorHAnsi" w:cstheme="minorHAnsi"/>
              </w:rPr>
            </w:pPr>
            <w:r>
              <w:rPr>
                <w:rFonts w:asciiTheme="minorHAnsi" w:hAnsiTheme="minorHAnsi" w:cstheme="minorHAnsi"/>
              </w:rPr>
              <w:t>P</w:t>
            </w:r>
            <w:r w:rsidRPr="00F84BAF">
              <w:rPr>
                <w:rFonts w:asciiTheme="minorHAnsi" w:hAnsiTheme="minorHAnsi" w:cstheme="minorHAnsi"/>
              </w:rPr>
              <w:t>ossibilidade de introdução de maior competição entre os distribuidores pelo fim da tutela regulatória da fidelidade à bandeira.</w:t>
            </w:r>
          </w:p>
          <w:p w14:paraId="605AD3BD" w14:textId="77777777" w:rsidR="00291DF4" w:rsidRPr="001634DC" w:rsidRDefault="00291DF4" w:rsidP="00291DF4">
            <w:pPr>
              <w:jc w:val="center"/>
              <w:rPr>
                <w:rFonts w:asciiTheme="minorHAnsi" w:hAnsiTheme="minorHAnsi" w:cstheme="minorHAnsi"/>
              </w:rPr>
            </w:pPr>
          </w:p>
          <w:p w14:paraId="1779EEC7" w14:textId="77777777" w:rsidR="00291DF4" w:rsidRPr="00747263" w:rsidRDefault="00291DF4" w:rsidP="00291DF4">
            <w:pPr>
              <w:jc w:val="center"/>
              <w:rPr>
                <w:rFonts w:asciiTheme="minorHAnsi" w:hAnsiTheme="minorHAnsi" w:cstheme="minorHAnsi"/>
              </w:rPr>
            </w:pPr>
          </w:p>
          <w:p w14:paraId="449E6108" w14:textId="77777777" w:rsidR="00291DF4" w:rsidRDefault="00291DF4" w:rsidP="00291DF4">
            <w:pPr>
              <w:jc w:val="center"/>
              <w:rPr>
                <w:rFonts w:ascii="Arial" w:hAnsi="Arial" w:cs="Arial"/>
                <w:bCs/>
              </w:rPr>
            </w:pPr>
          </w:p>
        </w:tc>
        <w:tc>
          <w:tcPr>
            <w:tcW w:w="53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20" w:type="dxa"/>
              <w:left w:w="20" w:type="dxa"/>
              <w:bottom w:w="0" w:type="dxa"/>
              <w:right w:w="20" w:type="dxa"/>
            </w:tcMar>
            <w:vAlign w:val="center"/>
          </w:tcPr>
          <w:p w14:paraId="0AFD5BBB" w14:textId="6B94B483" w:rsidR="00291DF4" w:rsidRPr="00BB004F" w:rsidRDefault="00291DF4" w:rsidP="00291DF4">
            <w:pPr>
              <w:jc w:val="center"/>
              <w:rPr>
                <w:rFonts w:ascii="Arial" w:hAnsi="Arial" w:cs="Arial"/>
                <w:bCs/>
              </w:rPr>
            </w:pPr>
            <w:r w:rsidRPr="007E7C6A">
              <w:rPr>
                <w:rFonts w:asciiTheme="minorHAnsi" w:hAnsiTheme="minorHAnsi" w:cstheme="minorHAnsi"/>
              </w:rPr>
              <w:t xml:space="preserve">Manter </w:t>
            </w:r>
            <w:r>
              <w:rPr>
                <w:rFonts w:asciiTheme="minorHAnsi" w:hAnsiTheme="minorHAnsi" w:cstheme="minorHAnsi"/>
              </w:rPr>
              <w:t>inalterados os dispositivos regulatórios em vigor</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20" w:type="dxa"/>
              <w:left w:w="20" w:type="dxa"/>
              <w:bottom w:w="0" w:type="dxa"/>
              <w:right w:w="20" w:type="dxa"/>
            </w:tcMar>
            <w:vAlign w:val="center"/>
          </w:tcPr>
          <w:p w14:paraId="2B3459DC" w14:textId="77777777" w:rsidR="00291DF4" w:rsidRDefault="00291DF4" w:rsidP="00291DF4">
            <w:pPr>
              <w:ind w:left="360"/>
              <w:jc w:val="center"/>
              <w:rPr>
                <w:rFonts w:asciiTheme="minorHAnsi" w:hAnsiTheme="minorHAnsi" w:cstheme="minorHAnsi"/>
              </w:rPr>
            </w:pPr>
          </w:p>
          <w:p w14:paraId="42DDE486" w14:textId="6C4B98DD" w:rsidR="00291DF4" w:rsidRPr="00160BBE" w:rsidRDefault="00291DF4" w:rsidP="00291DF4">
            <w:pPr>
              <w:rPr>
                <w:rFonts w:asciiTheme="minorHAnsi" w:hAnsiTheme="minorHAnsi" w:cstheme="minorHAnsi"/>
              </w:rPr>
            </w:pPr>
            <w:r w:rsidRPr="00160BBE">
              <w:rPr>
                <w:rFonts w:asciiTheme="minorHAnsi" w:hAnsiTheme="minorHAnsi" w:cstheme="minorHAnsi"/>
              </w:rPr>
              <w:t>A alteração dos procedimentos de controle e fiscalização de marca, ora em vigor, feita de forma açodada e sem uma significativa melhora no sistema fiscalizador / arrecadador servirá apenas para estimular empresários mal-intencionados a atuar no mercado de forma irregular, e resultando no aumento da concorrencial desleal e da sonegação.</w:t>
            </w:r>
          </w:p>
          <w:p w14:paraId="5594C7EA" w14:textId="77777777" w:rsidR="00291DF4" w:rsidRPr="00160BBE" w:rsidRDefault="00291DF4" w:rsidP="00291DF4">
            <w:pPr>
              <w:ind w:left="360"/>
              <w:rPr>
                <w:rFonts w:asciiTheme="minorHAnsi" w:hAnsiTheme="minorHAnsi" w:cstheme="minorHAnsi"/>
              </w:rPr>
            </w:pPr>
          </w:p>
          <w:p w14:paraId="47C630AD" w14:textId="77777777" w:rsidR="00291DF4" w:rsidRDefault="00291DF4" w:rsidP="00291DF4">
            <w:pPr>
              <w:rPr>
                <w:rFonts w:asciiTheme="minorHAnsi" w:hAnsiTheme="minorHAnsi" w:cstheme="minorHAnsi"/>
              </w:rPr>
            </w:pPr>
            <w:r>
              <w:rPr>
                <w:rFonts w:asciiTheme="minorHAnsi" w:hAnsiTheme="minorHAnsi" w:cstheme="minorHAnsi"/>
              </w:rPr>
              <w:t>E</w:t>
            </w:r>
            <w:r w:rsidRPr="00563C51">
              <w:rPr>
                <w:rFonts w:asciiTheme="minorHAnsi" w:hAnsiTheme="minorHAnsi" w:cstheme="minorHAnsi"/>
              </w:rPr>
              <w:t xml:space="preserve">ntendemos </w:t>
            </w:r>
            <w:r>
              <w:rPr>
                <w:rFonts w:asciiTheme="minorHAnsi" w:hAnsiTheme="minorHAnsi" w:cstheme="minorHAnsi"/>
              </w:rPr>
              <w:t xml:space="preserve">e apoiamos </w:t>
            </w:r>
            <w:r w:rsidRPr="00563C51">
              <w:rPr>
                <w:rFonts w:asciiTheme="minorHAnsi" w:hAnsiTheme="minorHAnsi" w:cstheme="minorHAnsi"/>
              </w:rPr>
              <w:t xml:space="preserve">que </w:t>
            </w:r>
            <w:r>
              <w:rPr>
                <w:rFonts w:asciiTheme="minorHAnsi" w:hAnsiTheme="minorHAnsi" w:cstheme="minorHAnsi"/>
              </w:rPr>
              <w:t>o debate sobre</w:t>
            </w:r>
            <w:r w:rsidRPr="00563C51">
              <w:rPr>
                <w:rFonts w:asciiTheme="minorHAnsi" w:hAnsiTheme="minorHAnsi" w:cstheme="minorHAnsi"/>
              </w:rPr>
              <w:t xml:space="preserve"> alteraç</w:t>
            </w:r>
            <w:r>
              <w:rPr>
                <w:rFonts w:asciiTheme="minorHAnsi" w:hAnsiTheme="minorHAnsi" w:cstheme="minorHAnsi"/>
              </w:rPr>
              <w:t>ões</w:t>
            </w:r>
            <w:r w:rsidRPr="00563C51">
              <w:rPr>
                <w:rFonts w:asciiTheme="minorHAnsi" w:hAnsiTheme="minorHAnsi" w:cstheme="minorHAnsi"/>
              </w:rPr>
              <w:t xml:space="preserve"> deste porte</w:t>
            </w:r>
            <w:r>
              <w:rPr>
                <w:rFonts w:asciiTheme="minorHAnsi" w:hAnsiTheme="minorHAnsi" w:cstheme="minorHAnsi"/>
              </w:rPr>
              <w:t xml:space="preserve"> deve ser realizado e</w:t>
            </w:r>
            <w:r w:rsidRPr="00563C51">
              <w:rPr>
                <w:rFonts w:asciiTheme="minorHAnsi" w:hAnsiTheme="minorHAnsi" w:cstheme="minorHAnsi"/>
              </w:rPr>
              <w:t xml:space="preserve"> </w:t>
            </w:r>
            <w:r>
              <w:rPr>
                <w:rFonts w:asciiTheme="minorHAnsi" w:hAnsiTheme="minorHAnsi" w:cstheme="minorHAnsi"/>
              </w:rPr>
              <w:t>é</w:t>
            </w:r>
            <w:r w:rsidRPr="00563C51">
              <w:rPr>
                <w:rFonts w:asciiTheme="minorHAnsi" w:hAnsiTheme="minorHAnsi" w:cstheme="minorHAnsi"/>
              </w:rPr>
              <w:t xml:space="preserve"> importante, mas deve ser precedid</w:t>
            </w:r>
            <w:r>
              <w:rPr>
                <w:rFonts w:asciiTheme="minorHAnsi" w:hAnsiTheme="minorHAnsi" w:cstheme="minorHAnsi"/>
              </w:rPr>
              <w:t>o</w:t>
            </w:r>
            <w:r w:rsidRPr="00563C51">
              <w:rPr>
                <w:rFonts w:asciiTheme="minorHAnsi" w:hAnsiTheme="minorHAnsi" w:cstheme="minorHAnsi"/>
              </w:rPr>
              <w:t xml:space="preserve"> de uma detalhada Análise de Impacto Regulatório, permitindo a avaliação precisa e suportável dos efeitos que esta alteração poderá gerar ao consumidor.</w:t>
            </w:r>
          </w:p>
          <w:p w14:paraId="1946406E" w14:textId="77777777" w:rsidR="00291DF4" w:rsidRPr="00160BBE" w:rsidRDefault="00291DF4" w:rsidP="00291DF4">
            <w:pPr>
              <w:ind w:left="360"/>
              <w:rPr>
                <w:rFonts w:asciiTheme="minorHAnsi" w:hAnsiTheme="minorHAnsi" w:cstheme="minorHAnsi"/>
              </w:rPr>
            </w:pPr>
          </w:p>
          <w:p w14:paraId="406A5B19" w14:textId="77777777" w:rsidR="00291DF4" w:rsidRDefault="00291DF4" w:rsidP="00291DF4">
            <w:pPr>
              <w:rPr>
                <w:rFonts w:asciiTheme="minorHAnsi" w:hAnsiTheme="minorHAnsi" w:cstheme="minorHAnsi"/>
              </w:rPr>
            </w:pPr>
            <w:r>
              <w:rPr>
                <w:rFonts w:asciiTheme="minorHAnsi" w:hAnsiTheme="minorHAnsi" w:cstheme="minorHAnsi"/>
              </w:rPr>
              <w:t>Acreditamos, também, que qualquer mudança desta amplitude requer uma efetiva alteração nos procedimentos judiciais, de maneira a oferecer celeridade e garantia de conclusão no tratamento</w:t>
            </w:r>
            <w:r w:rsidRPr="00160BBE">
              <w:rPr>
                <w:rFonts w:asciiTheme="minorHAnsi" w:hAnsiTheme="minorHAnsi" w:cstheme="minorHAnsi"/>
              </w:rPr>
              <w:t xml:space="preserve"> </w:t>
            </w:r>
            <w:r>
              <w:rPr>
                <w:rFonts w:asciiTheme="minorHAnsi" w:hAnsiTheme="minorHAnsi" w:cstheme="minorHAnsi"/>
              </w:rPr>
              <w:t>d</w:t>
            </w:r>
            <w:r w:rsidRPr="00160BBE">
              <w:rPr>
                <w:rFonts w:asciiTheme="minorHAnsi" w:hAnsiTheme="minorHAnsi" w:cstheme="minorHAnsi"/>
              </w:rPr>
              <w:t>os eventuais abusos de violação de marca com a velocidade necessária.</w:t>
            </w:r>
          </w:p>
          <w:p w14:paraId="34B4D705" w14:textId="12682544" w:rsidR="00291DF4" w:rsidRPr="00BB004F" w:rsidRDefault="00291DF4" w:rsidP="00291DF4">
            <w:pPr>
              <w:jc w:val="center"/>
              <w:rPr>
                <w:rFonts w:ascii="Arial" w:hAnsi="Arial" w:cs="Arial"/>
                <w:bCs/>
              </w:rPr>
            </w:pPr>
          </w:p>
        </w:tc>
      </w:tr>
      <w:tr w:rsidR="00291DF4" w14:paraId="6753C84E" w14:textId="77777777" w:rsidTr="00291DF4">
        <w:trPr>
          <w:trHeight w:val="568"/>
        </w:trPr>
        <w:tc>
          <w:tcPr>
            <w:tcW w:w="3261" w:type="dxa"/>
            <w:tcBorders>
              <w:top w:val="single" w:sz="4" w:space="0" w:color="000000" w:themeColor="text1"/>
            </w:tcBorders>
            <w:shd w:val="clear" w:color="auto" w:fill="FFFFFF"/>
            <w:tcMar>
              <w:top w:w="20" w:type="dxa"/>
              <w:left w:w="20" w:type="dxa"/>
              <w:bottom w:w="0" w:type="dxa"/>
              <w:right w:w="20" w:type="dxa"/>
            </w:tcMar>
            <w:vAlign w:val="center"/>
          </w:tcPr>
          <w:p w14:paraId="5A16F383" w14:textId="77777777" w:rsidR="00291DF4" w:rsidRDefault="00291DF4" w:rsidP="00291DF4">
            <w:pPr>
              <w:rPr>
                <w:rFonts w:ascii="Calibri" w:hAnsi="Calibri"/>
              </w:rPr>
            </w:pPr>
          </w:p>
        </w:tc>
        <w:tc>
          <w:tcPr>
            <w:tcW w:w="5386" w:type="dxa"/>
            <w:gridSpan w:val="2"/>
            <w:tcBorders>
              <w:top w:val="single" w:sz="4" w:space="0" w:color="000000" w:themeColor="text1"/>
            </w:tcBorders>
            <w:shd w:val="clear" w:color="auto" w:fill="FFFFFF"/>
            <w:tcMar>
              <w:top w:w="20" w:type="dxa"/>
              <w:left w:w="20" w:type="dxa"/>
              <w:bottom w:w="0" w:type="dxa"/>
              <w:right w:w="20" w:type="dxa"/>
            </w:tcMar>
            <w:vAlign w:val="center"/>
          </w:tcPr>
          <w:p w14:paraId="3D88C9EC" w14:textId="77777777" w:rsidR="00291DF4" w:rsidRPr="00E50EF5" w:rsidRDefault="00291DF4" w:rsidP="00291DF4">
            <w:pPr>
              <w:jc w:val="both"/>
              <w:rPr>
                <w:rFonts w:asciiTheme="minorHAnsi" w:hAnsiTheme="minorHAnsi" w:cs="Arial"/>
                <w:color w:val="333333"/>
              </w:rPr>
            </w:pPr>
          </w:p>
        </w:tc>
        <w:tc>
          <w:tcPr>
            <w:tcW w:w="5670" w:type="dxa"/>
            <w:tcBorders>
              <w:top w:val="single" w:sz="4" w:space="0" w:color="000000" w:themeColor="text1"/>
            </w:tcBorders>
            <w:shd w:val="clear" w:color="auto" w:fill="FFFFFF"/>
            <w:tcMar>
              <w:top w:w="20" w:type="dxa"/>
              <w:left w:w="20" w:type="dxa"/>
              <w:bottom w:w="0" w:type="dxa"/>
              <w:right w:w="20" w:type="dxa"/>
            </w:tcMar>
            <w:vAlign w:val="center"/>
          </w:tcPr>
          <w:p w14:paraId="43B73AB3" w14:textId="77777777" w:rsidR="00291DF4" w:rsidRDefault="00291DF4" w:rsidP="00291DF4">
            <w:pPr>
              <w:jc w:val="both"/>
              <w:rPr>
                <w:rFonts w:asciiTheme="minorHAnsi" w:hAnsiTheme="minorHAnsi" w:cs="Arial"/>
                <w:color w:val="333333"/>
              </w:rPr>
            </w:pPr>
          </w:p>
        </w:tc>
      </w:tr>
      <w:tr w:rsidR="00291DF4" w14:paraId="1A6C73EE" w14:textId="77777777" w:rsidTr="00291DF4">
        <w:trPr>
          <w:trHeight w:val="568"/>
        </w:trPr>
        <w:tc>
          <w:tcPr>
            <w:tcW w:w="3261" w:type="dxa"/>
            <w:shd w:val="clear" w:color="auto" w:fill="FFFFFF"/>
            <w:tcMar>
              <w:top w:w="20" w:type="dxa"/>
              <w:left w:w="20" w:type="dxa"/>
              <w:bottom w:w="0" w:type="dxa"/>
              <w:right w:w="20" w:type="dxa"/>
            </w:tcMar>
            <w:vAlign w:val="center"/>
          </w:tcPr>
          <w:p w14:paraId="0B687470" w14:textId="77777777" w:rsidR="00291DF4" w:rsidRDefault="00291DF4" w:rsidP="00291DF4">
            <w:pPr>
              <w:rPr>
                <w:rFonts w:ascii="Calibri" w:hAnsi="Calibri"/>
              </w:rPr>
            </w:pPr>
          </w:p>
        </w:tc>
        <w:tc>
          <w:tcPr>
            <w:tcW w:w="5386" w:type="dxa"/>
            <w:gridSpan w:val="2"/>
            <w:shd w:val="clear" w:color="auto" w:fill="FFFFFF"/>
            <w:tcMar>
              <w:top w:w="20" w:type="dxa"/>
              <w:left w:w="20" w:type="dxa"/>
              <w:bottom w:w="0" w:type="dxa"/>
              <w:right w:w="20" w:type="dxa"/>
            </w:tcMar>
            <w:vAlign w:val="center"/>
          </w:tcPr>
          <w:p w14:paraId="41479EBD" w14:textId="77777777" w:rsidR="00291DF4" w:rsidRPr="00E50EF5" w:rsidRDefault="00291DF4" w:rsidP="00291DF4">
            <w:pPr>
              <w:jc w:val="both"/>
              <w:rPr>
                <w:rFonts w:asciiTheme="minorHAnsi" w:hAnsiTheme="minorHAnsi" w:cs="Arial"/>
                <w:color w:val="333333"/>
              </w:rPr>
            </w:pPr>
          </w:p>
        </w:tc>
        <w:tc>
          <w:tcPr>
            <w:tcW w:w="5670" w:type="dxa"/>
            <w:shd w:val="clear" w:color="auto" w:fill="FFFFFF"/>
            <w:tcMar>
              <w:top w:w="20" w:type="dxa"/>
              <w:left w:w="20" w:type="dxa"/>
              <w:bottom w:w="0" w:type="dxa"/>
              <w:right w:w="20" w:type="dxa"/>
            </w:tcMar>
            <w:vAlign w:val="center"/>
          </w:tcPr>
          <w:p w14:paraId="73A19F62" w14:textId="77777777" w:rsidR="00291DF4" w:rsidRDefault="00291DF4" w:rsidP="00291DF4">
            <w:pPr>
              <w:jc w:val="both"/>
              <w:rPr>
                <w:rFonts w:asciiTheme="minorHAnsi" w:hAnsiTheme="minorHAnsi" w:cs="Arial"/>
                <w:color w:val="333333"/>
              </w:rPr>
            </w:pPr>
          </w:p>
        </w:tc>
      </w:tr>
      <w:tr w:rsidR="00291DF4" w14:paraId="3D57CC76" w14:textId="77777777" w:rsidTr="00291DF4">
        <w:trPr>
          <w:trHeight w:val="568"/>
        </w:trPr>
        <w:tc>
          <w:tcPr>
            <w:tcW w:w="3261" w:type="dxa"/>
            <w:tcBorders>
              <w:bottom w:val="single" w:sz="4" w:space="0" w:color="auto"/>
            </w:tcBorders>
            <w:shd w:val="clear" w:color="auto" w:fill="FFFFFF"/>
            <w:tcMar>
              <w:top w:w="20" w:type="dxa"/>
              <w:left w:w="20" w:type="dxa"/>
              <w:bottom w:w="0" w:type="dxa"/>
              <w:right w:w="20" w:type="dxa"/>
            </w:tcMar>
            <w:vAlign w:val="center"/>
          </w:tcPr>
          <w:p w14:paraId="4FD429D1" w14:textId="77777777" w:rsidR="00291DF4" w:rsidRDefault="00291DF4" w:rsidP="00291DF4">
            <w:pPr>
              <w:rPr>
                <w:rFonts w:ascii="Calibri" w:hAnsi="Calibri"/>
              </w:rPr>
            </w:pPr>
          </w:p>
        </w:tc>
        <w:tc>
          <w:tcPr>
            <w:tcW w:w="5386" w:type="dxa"/>
            <w:gridSpan w:val="2"/>
            <w:tcBorders>
              <w:bottom w:val="single" w:sz="4" w:space="0" w:color="auto"/>
            </w:tcBorders>
            <w:shd w:val="clear" w:color="auto" w:fill="FFFFFF"/>
            <w:tcMar>
              <w:top w:w="20" w:type="dxa"/>
              <w:left w:w="20" w:type="dxa"/>
              <w:bottom w:w="0" w:type="dxa"/>
              <w:right w:w="20" w:type="dxa"/>
            </w:tcMar>
            <w:vAlign w:val="center"/>
          </w:tcPr>
          <w:p w14:paraId="1955200E" w14:textId="77777777" w:rsidR="00291DF4" w:rsidRPr="00E50EF5" w:rsidRDefault="00291DF4" w:rsidP="00291DF4">
            <w:pPr>
              <w:jc w:val="both"/>
              <w:rPr>
                <w:rFonts w:asciiTheme="minorHAnsi" w:hAnsiTheme="minorHAnsi" w:cs="Arial"/>
                <w:color w:val="333333"/>
              </w:rPr>
            </w:pPr>
          </w:p>
        </w:tc>
        <w:tc>
          <w:tcPr>
            <w:tcW w:w="5670" w:type="dxa"/>
            <w:tcBorders>
              <w:bottom w:val="single" w:sz="4" w:space="0" w:color="auto"/>
            </w:tcBorders>
            <w:shd w:val="clear" w:color="auto" w:fill="FFFFFF"/>
            <w:tcMar>
              <w:top w:w="20" w:type="dxa"/>
              <w:left w:w="20" w:type="dxa"/>
              <w:bottom w:w="0" w:type="dxa"/>
              <w:right w:w="20" w:type="dxa"/>
            </w:tcMar>
            <w:vAlign w:val="center"/>
          </w:tcPr>
          <w:p w14:paraId="71BB667D" w14:textId="77777777" w:rsidR="00291DF4" w:rsidRDefault="00291DF4" w:rsidP="00291DF4">
            <w:pPr>
              <w:jc w:val="both"/>
              <w:rPr>
                <w:rFonts w:asciiTheme="minorHAnsi" w:hAnsiTheme="minorHAnsi" w:cs="Arial"/>
                <w:color w:val="333333"/>
              </w:rPr>
            </w:pPr>
          </w:p>
        </w:tc>
      </w:tr>
      <w:tr w:rsidR="00291DF4" w14:paraId="3D44EB57" w14:textId="77777777" w:rsidTr="00291DF4">
        <w:trPr>
          <w:trHeight w:val="568"/>
        </w:trPr>
        <w:tc>
          <w:tcPr>
            <w:tcW w:w="3261" w:type="dxa"/>
            <w:tcBorders>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14:paraId="3D44EB4E" w14:textId="77777777" w:rsidR="00291DF4" w:rsidRPr="0009004A" w:rsidRDefault="00291DF4" w:rsidP="00291DF4">
            <w:r>
              <w:rPr>
                <w:rFonts w:ascii="Calibri" w:hAnsi="Calibri"/>
              </w:rPr>
              <w:t>R</w:t>
            </w:r>
            <w:r w:rsidRPr="0009004A">
              <w:rPr>
                <w:rFonts w:ascii="Calibri" w:hAnsi="Calibri"/>
              </w:rPr>
              <w:t>esponsabilidade solidária dos distribuidores sobre os postos bandeirados, independente da existência de culpa;</w:t>
            </w:r>
          </w:p>
        </w:tc>
        <w:tc>
          <w:tcPr>
            <w:tcW w:w="5386" w:type="dxa"/>
            <w:gridSpan w:val="2"/>
            <w:tcBorders>
              <w:left w:val="nil"/>
              <w:bottom w:val="single" w:sz="4" w:space="0" w:color="auto"/>
              <w:right w:val="single" w:sz="4" w:space="0" w:color="auto"/>
            </w:tcBorders>
            <w:shd w:val="clear" w:color="auto" w:fill="FFFFFF"/>
            <w:tcMar>
              <w:top w:w="20" w:type="dxa"/>
              <w:left w:w="20" w:type="dxa"/>
              <w:bottom w:w="0" w:type="dxa"/>
              <w:right w:w="20" w:type="dxa"/>
            </w:tcMar>
            <w:vAlign w:val="center"/>
          </w:tcPr>
          <w:p w14:paraId="3D44EB4F" w14:textId="77777777" w:rsidR="00291DF4" w:rsidRPr="00E50EF5" w:rsidRDefault="00291DF4" w:rsidP="00291DF4">
            <w:pPr>
              <w:jc w:val="both"/>
              <w:rPr>
                <w:rFonts w:asciiTheme="minorHAnsi" w:hAnsiTheme="minorHAnsi" w:cs="Arial"/>
                <w:color w:val="333333"/>
              </w:rPr>
            </w:pPr>
            <w:r w:rsidRPr="00E50EF5">
              <w:rPr>
                <w:rFonts w:asciiTheme="minorHAnsi" w:hAnsiTheme="minorHAnsi" w:cs="Arial"/>
                <w:color w:val="333333"/>
              </w:rPr>
              <w:t>   </w:t>
            </w:r>
            <w:r w:rsidRPr="007E7C6A">
              <w:rPr>
                <w:rFonts w:asciiTheme="minorHAnsi" w:hAnsiTheme="minorHAnsi" w:cstheme="minorHAnsi"/>
              </w:rPr>
              <w:t xml:space="preserve">Manter </w:t>
            </w:r>
            <w:r>
              <w:rPr>
                <w:rFonts w:asciiTheme="minorHAnsi" w:hAnsiTheme="minorHAnsi" w:cstheme="minorHAnsi"/>
              </w:rPr>
              <w:t>inalterados os dispositivos regulatórios em vigor</w:t>
            </w:r>
          </w:p>
          <w:p w14:paraId="3D44EB50" w14:textId="77777777" w:rsidR="00291DF4" w:rsidRPr="00E50EF5" w:rsidRDefault="00291DF4" w:rsidP="00291DF4">
            <w:pPr>
              <w:jc w:val="both"/>
              <w:rPr>
                <w:rFonts w:asciiTheme="minorHAnsi" w:hAnsiTheme="minorHAnsi" w:cstheme="minorHAnsi"/>
                <w:b/>
                <w:color w:val="FF0000"/>
              </w:rPr>
            </w:pPr>
            <w:r w:rsidRPr="00E50EF5">
              <w:rPr>
                <w:rFonts w:asciiTheme="minorHAnsi" w:hAnsiTheme="minorHAnsi" w:cs="Arial"/>
                <w:color w:val="333333"/>
              </w:rPr>
              <w:t xml:space="preserve"> </w:t>
            </w:r>
          </w:p>
        </w:tc>
        <w:tc>
          <w:tcPr>
            <w:tcW w:w="5670" w:type="dxa"/>
            <w:tcBorders>
              <w:left w:val="nil"/>
              <w:bottom w:val="single" w:sz="4" w:space="0" w:color="auto"/>
              <w:right w:val="single" w:sz="4" w:space="0" w:color="auto"/>
            </w:tcBorders>
            <w:shd w:val="clear" w:color="auto" w:fill="FFFFFF"/>
            <w:tcMar>
              <w:top w:w="20" w:type="dxa"/>
              <w:left w:w="20" w:type="dxa"/>
              <w:bottom w:w="0" w:type="dxa"/>
              <w:right w:w="20" w:type="dxa"/>
            </w:tcMar>
            <w:vAlign w:val="center"/>
          </w:tcPr>
          <w:p w14:paraId="56B24746" w14:textId="77777777" w:rsidR="00291DF4" w:rsidRDefault="00291DF4" w:rsidP="00291DF4">
            <w:pPr>
              <w:jc w:val="both"/>
              <w:rPr>
                <w:rFonts w:asciiTheme="minorHAnsi" w:hAnsiTheme="minorHAnsi" w:cs="Arial"/>
                <w:color w:val="333333"/>
              </w:rPr>
            </w:pPr>
          </w:p>
          <w:p w14:paraId="1408956C" w14:textId="77777777" w:rsidR="00291DF4" w:rsidRDefault="00291DF4" w:rsidP="00291DF4">
            <w:pPr>
              <w:jc w:val="both"/>
              <w:rPr>
                <w:rFonts w:asciiTheme="minorHAnsi" w:hAnsiTheme="minorHAnsi" w:cs="Arial"/>
                <w:color w:val="333333"/>
              </w:rPr>
            </w:pPr>
            <w:r>
              <w:rPr>
                <w:rFonts w:asciiTheme="minorHAnsi" w:hAnsiTheme="minorHAnsi" w:cs="Arial"/>
                <w:color w:val="333333"/>
              </w:rPr>
              <w:t xml:space="preserve">Previsão legal: </w:t>
            </w:r>
          </w:p>
          <w:p w14:paraId="798013D4" w14:textId="77777777" w:rsidR="00291DF4" w:rsidRDefault="00291DF4" w:rsidP="00291DF4">
            <w:pPr>
              <w:jc w:val="both"/>
              <w:rPr>
                <w:rFonts w:asciiTheme="minorHAnsi" w:hAnsiTheme="minorHAnsi" w:cs="Arial"/>
                <w:color w:val="333333"/>
              </w:rPr>
            </w:pPr>
          </w:p>
          <w:p w14:paraId="3D44EB51" w14:textId="285900CA" w:rsidR="00291DF4" w:rsidRDefault="00291DF4" w:rsidP="00291DF4">
            <w:pPr>
              <w:jc w:val="both"/>
              <w:rPr>
                <w:rFonts w:asciiTheme="minorHAnsi" w:hAnsiTheme="minorHAnsi" w:cs="Arial"/>
                <w:color w:val="333333"/>
              </w:rPr>
            </w:pPr>
            <w:r>
              <w:rPr>
                <w:rFonts w:asciiTheme="minorHAnsi" w:hAnsiTheme="minorHAnsi" w:cs="Arial"/>
                <w:color w:val="333333"/>
              </w:rPr>
              <w:t>Lei 9847/99 Art. 18:</w:t>
            </w:r>
          </w:p>
          <w:p w14:paraId="40C380A2" w14:textId="77777777" w:rsidR="00291DF4" w:rsidRDefault="00291DF4" w:rsidP="00291DF4">
            <w:pPr>
              <w:rPr>
                <w:rFonts w:asciiTheme="minorHAnsi" w:hAnsiTheme="minorHAnsi" w:cs="Arial"/>
                <w:color w:val="333333"/>
              </w:rPr>
            </w:pPr>
          </w:p>
          <w:p w14:paraId="2B859F67" w14:textId="77777777" w:rsidR="00291DF4" w:rsidRDefault="00291DF4" w:rsidP="00291DF4">
            <w:pPr>
              <w:rPr>
                <w:rFonts w:asciiTheme="minorHAnsi" w:hAnsiTheme="minorHAnsi" w:cs="Arial"/>
                <w:color w:val="333333"/>
              </w:rPr>
            </w:pPr>
            <w:r w:rsidRPr="00E50EF5">
              <w:rPr>
                <w:rFonts w:asciiTheme="minorHAnsi" w:hAnsiTheme="minorHAnsi" w:cs="Arial"/>
                <w:color w:val="333333"/>
              </w:rPr>
              <w:t>Os fornecedores e transportadores de petróleo e seus derivados, de gás natural e condensado, bem assim de álcool etílico combustível, respondem solidariamente pelos vícios de qualidade ou quantidade, inclusive aquelas decorrentes da disparidade com as indicações constantes do recipiente da embalagem ou rotulagem, que os tornem impróprios ou inadequados ao consumo a que se destinam o</w:t>
            </w:r>
            <w:r>
              <w:rPr>
                <w:rFonts w:asciiTheme="minorHAnsi" w:hAnsiTheme="minorHAnsi" w:cs="Arial"/>
                <w:color w:val="333333"/>
              </w:rPr>
              <w:t xml:space="preserve">u lhes diminuam o valor. </w:t>
            </w:r>
            <w:r>
              <w:rPr>
                <w:rFonts w:asciiTheme="minorHAnsi" w:hAnsiTheme="minorHAnsi" w:cs="Arial"/>
                <w:color w:val="333333"/>
              </w:rPr>
              <w:br/>
            </w:r>
          </w:p>
          <w:p w14:paraId="3D44EB52" w14:textId="272AAEEE" w:rsidR="00291DF4" w:rsidRDefault="00291DF4" w:rsidP="00291DF4">
            <w:pPr>
              <w:rPr>
                <w:rStyle w:val="Strong"/>
                <w:rFonts w:asciiTheme="minorHAnsi" w:hAnsiTheme="minorHAnsi"/>
                <w:b w:val="0"/>
              </w:rPr>
            </w:pPr>
            <w:r w:rsidRPr="00E50EF5">
              <w:rPr>
                <w:rFonts w:asciiTheme="minorHAnsi" w:hAnsiTheme="minorHAnsi" w:cs="Arial"/>
                <w:color w:val="333333"/>
              </w:rPr>
              <w:t>§ 1º As companhias distribuidoras proprietárias de equipamentos, destinados ao abastecimento de combustíveis e responsáveis pela sua manutenção, respondem solidariamente com os postos revendedores por vícios de funcionamento dos mesmos.</w:t>
            </w:r>
          </w:p>
          <w:p w14:paraId="0C272F0C" w14:textId="77777777" w:rsidR="00291DF4" w:rsidRDefault="00291DF4" w:rsidP="00291DF4">
            <w:pPr>
              <w:rPr>
                <w:rStyle w:val="Strong"/>
                <w:rFonts w:asciiTheme="minorHAnsi" w:hAnsiTheme="minorHAnsi"/>
                <w:b w:val="0"/>
              </w:rPr>
            </w:pPr>
          </w:p>
          <w:p w14:paraId="1ECAB88A" w14:textId="77777777" w:rsidR="00291DF4" w:rsidRDefault="00291DF4" w:rsidP="00291DF4">
            <w:pPr>
              <w:rPr>
                <w:rFonts w:asciiTheme="minorHAnsi" w:hAnsiTheme="minorHAnsi"/>
                <w:b/>
              </w:rPr>
            </w:pPr>
            <w:r w:rsidRPr="006D7DB4">
              <w:rPr>
                <w:rStyle w:val="Strong"/>
                <w:rFonts w:asciiTheme="minorHAnsi" w:hAnsiTheme="minorHAnsi"/>
                <w:b w:val="0"/>
              </w:rPr>
              <w:t xml:space="preserve">Principio também previsto no Código Civil em seu artigo Art.927 </w:t>
            </w:r>
            <w:r w:rsidRPr="006D7DB4">
              <w:rPr>
                <w:rFonts w:asciiTheme="minorHAnsi" w:hAnsiTheme="minorHAnsi"/>
                <w:b/>
              </w:rPr>
              <w:t xml:space="preserve"> </w:t>
            </w:r>
          </w:p>
          <w:p w14:paraId="0AFA5858" w14:textId="77777777" w:rsidR="00291DF4" w:rsidRDefault="00291DF4" w:rsidP="00291DF4">
            <w:pPr>
              <w:rPr>
                <w:b/>
              </w:rPr>
            </w:pPr>
          </w:p>
          <w:p w14:paraId="3D44EB53" w14:textId="6216424C" w:rsidR="00291DF4" w:rsidRDefault="00291DF4" w:rsidP="00291DF4">
            <w:pPr>
              <w:rPr>
                <w:rFonts w:asciiTheme="minorHAnsi" w:hAnsiTheme="minorHAnsi"/>
              </w:rPr>
            </w:pPr>
            <w:r w:rsidRPr="006D7DB4">
              <w:rPr>
                <w:rStyle w:val="Strong"/>
                <w:rFonts w:asciiTheme="minorHAnsi" w:hAnsiTheme="minorHAnsi"/>
                <w:b w:val="0"/>
              </w:rPr>
              <w:t>Parágrafo único</w:t>
            </w:r>
            <w:r w:rsidRPr="006D7DB4">
              <w:rPr>
                <w:rFonts w:asciiTheme="minorHAnsi" w:hAnsiTheme="minorHAnsi"/>
              </w:rPr>
              <w:t>:</w:t>
            </w:r>
          </w:p>
          <w:p w14:paraId="3D44EB54" w14:textId="77777777" w:rsidR="00291DF4" w:rsidRDefault="00291DF4" w:rsidP="00291DF4">
            <w:pPr>
              <w:rPr>
                <w:rFonts w:asciiTheme="minorHAnsi" w:hAnsiTheme="minorHAnsi"/>
              </w:rPr>
            </w:pPr>
            <w:r w:rsidRPr="006D7DB4">
              <w:rPr>
                <w:rFonts w:asciiTheme="minorHAnsi" w:hAnsiTheme="minorHAnsi"/>
              </w:rPr>
              <w:t xml:space="preserve"> </w:t>
            </w:r>
            <w:r w:rsidRPr="006D7DB4">
              <w:rPr>
                <w:rFonts w:asciiTheme="minorHAnsi" w:hAnsiTheme="minorHAnsi"/>
                <w:b/>
                <w:i/>
              </w:rPr>
              <w:t>Haverá obrigação de reparar o dano, independentemente de culpa, nos casos especificados em lei, ou quando a atividade normalmente desenvolvida pelo autor do dano implicar, por sua natureza, risco para os direitos de outrem</w:t>
            </w:r>
            <w:r w:rsidRPr="006D7DB4">
              <w:rPr>
                <w:rFonts w:asciiTheme="minorHAnsi" w:hAnsiTheme="minorHAnsi"/>
              </w:rPr>
              <w:t>.</w:t>
            </w:r>
          </w:p>
          <w:p w14:paraId="3D44EB55" w14:textId="77777777" w:rsidR="00291DF4" w:rsidRDefault="00291DF4" w:rsidP="00291DF4">
            <w:pPr>
              <w:rPr>
                <w:rFonts w:asciiTheme="minorHAnsi" w:hAnsiTheme="minorHAnsi"/>
              </w:rPr>
            </w:pPr>
          </w:p>
          <w:p w14:paraId="3D44EB56" w14:textId="77777777" w:rsidR="00291DF4" w:rsidRPr="006D7DB4" w:rsidRDefault="00291DF4" w:rsidP="00291DF4">
            <w:pPr>
              <w:rPr>
                <w:rFonts w:asciiTheme="minorHAnsi" w:hAnsiTheme="minorHAnsi" w:cs="Arial"/>
              </w:rPr>
            </w:pPr>
          </w:p>
        </w:tc>
      </w:tr>
      <w:tr w:rsidR="00291DF4" w14:paraId="11C8B91C" w14:textId="77777777" w:rsidTr="00291DF4">
        <w:trPr>
          <w:trHeight w:val="568"/>
        </w:trPr>
        <w:tc>
          <w:tcPr>
            <w:tcW w:w="3261" w:type="dxa"/>
            <w:tcBorders>
              <w:top w:val="single" w:sz="4" w:space="0" w:color="auto"/>
            </w:tcBorders>
            <w:shd w:val="clear" w:color="auto" w:fill="FFFFFF"/>
            <w:tcMar>
              <w:top w:w="20" w:type="dxa"/>
              <w:left w:w="20" w:type="dxa"/>
              <w:bottom w:w="0" w:type="dxa"/>
              <w:right w:w="20" w:type="dxa"/>
            </w:tcMar>
            <w:vAlign w:val="center"/>
          </w:tcPr>
          <w:p w14:paraId="17CBD168" w14:textId="77777777" w:rsidR="00291DF4" w:rsidRPr="00737A02" w:rsidRDefault="00291DF4" w:rsidP="00291DF4">
            <w:pPr>
              <w:jc w:val="both"/>
              <w:rPr>
                <w:rFonts w:asciiTheme="minorHAnsi" w:hAnsiTheme="minorHAnsi" w:cstheme="minorHAnsi"/>
              </w:rPr>
            </w:pPr>
          </w:p>
        </w:tc>
        <w:tc>
          <w:tcPr>
            <w:tcW w:w="5386" w:type="dxa"/>
            <w:gridSpan w:val="2"/>
            <w:tcBorders>
              <w:top w:val="single" w:sz="4" w:space="0" w:color="auto"/>
            </w:tcBorders>
            <w:shd w:val="clear" w:color="auto" w:fill="FFFFFF"/>
            <w:tcMar>
              <w:top w:w="20" w:type="dxa"/>
              <w:left w:w="20" w:type="dxa"/>
              <w:bottom w:w="0" w:type="dxa"/>
              <w:right w:w="20" w:type="dxa"/>
            </w:tcMar>
            <w:vAlign w:val="center"/>
          </w:tcPr>
          <w:p w14:paraId="012D3E34" w14:textId="77777777" w:rsidR="00291DF4" w:rsidRPr="007E7C6A" w:rsidRDefault="00291DF4" w:rsidP="00291DF4">
            <w:pPr>
              <w:jc w:val="both"/>
              <w:rPr>
                <w:rFonts w:asciiTheme="minorHAnsi" w:hAnsiTheme="minorHAnsi" w:cstheme="minorHAnsi"/>
              </w:rPr>
            </w:pPr>
          </w:p>
        </w:tc>
        <w:tc>
          <w:tcPr>
            <w:tcW w:w="5670" w:type="dxa"/>
            <w:tcBorders>
              <w:top w:val="single" w:sz="4" w:space="0" w:color="auto"/>
            </w:tcBorders>
            <w:shd w:val="clear" w:color="auto" w:fill="FFFFFF"/>
            <w:tcMar>
              <w:top w:w="20" w:type="dxa"/>
              <w:left w:w="20" w:type="dxa"/>
              <w:bottom w:w="0" w:type="dxa"/>
              <w:right w:w="20" w:type="dxa"/>
            </w:tcMar>
            <w:vAlign w:val="center"/>
          </w:tcPr>
          <w:p w14:paraId="3FB805F1" w14:textId="77777777" w:rsidR="00291DF4" w:rsidRDefault="00291DF4" w:rsidP="00291DF4">
            <w:pPr>
              <w:rPr>
                <w:rFonts w:asciiTheme="minorHAnsi" w:hAnsiTheme="minorHAnsi" w:cstheme="minorHAnsi"/>
              </w:rPr>
            </w:pPr>
          </w:p>
        </w:tc>
      </w:tr>
      <w:tr w:rsidR="00291DF4" w14:paraId="3A2884EE" w14:textId="77777777" w:rsidTr="00291DF4">
        <w:trPr>
          <w:trHeight w:val="568"/>
        </w:trPr>
        <w:tc>
          <w:tcPr>
            <w:tcW w:w="3261" w:type="dxa"/>
            <w:shd w:val="clear" w:color="auto" w:fill="FFFFFF"/>
            <w:tcMar>
              <w:top w:w="20" w:type="dxa"/>
              <w:left w:w="20" w:type="dxa"/>
              <w:bottom w:w="0" w:type="dxa"/>
              <w:right w:w="20" w:type="dxa"/>
            </w:tcMar>
            <w:vAlign w:val="center"/>
          </w:tcPr>
          <w:p w14:paraId="3CD07416" w14:textId="77777777" w:rsidR="00291DF4" w:rsidRPr="00737A02" w:rsidRDefault="00291DF4" w:rsidP="00291DF4">
            <w:pPr>
              <w:jc w:val="both"/>
              <w:rPr>
                <w:rFonts w:asciiTheme="minorHAnsi" w:hAnsiTheme="minorHAnsi" w:cstheme="minorHAnsi"/>
              </w:rPr>
            </w:pPr>
          </w:p>
        </w:tc>
        <w:tc>
          <w:tcPr>
            <w:tcW w:w="5386" w:type="dxa"/>
            <w:gridSpan w:val="2"/>
            <w:shd w:val="clear" w:color="auto" w:fill="FFFFFF"/>
            <w:tcMar>
              <w:top w:w="20" w:type="dxa"/>
              <w:left w:w="20" w:type="dxa"/>
              <w:bottom w:w="0" w:type="dxa"/>
              <w:right w:w="20" w:type="dxa"/>
            </w:tcMar>
            <w:vAlign w:val="center"/>
          </w:tcPr>
          <w:p w14:paraId="24025021" w14:textId="77777777" w:rsidR="00291DF4" w:rsidRPr="007E7C6A" w:rsidRDefault="00291DF4" w:rsidP="00291DF4">
            <w:pPr>
              <w:jc w:val="both"/>
              <w:rPr>
                <w:rFonts w:asciiTheme="minorHAnsi" w:hAnsiTheme="minorHAnsi" w:cstheme="minorHAnsi"/>
              </w:rPr>
            </w:pPr>
          </w:p>
        </w:tc>
        <w:tc>
          <w:tcPr>
            <w:tcW w:w="5670" w:type="dxa"/>
            <w:shd w:val="clear" w:color="auto" w:fill="FFFFFF"/>
            <w:tcMar>
              <w:top w:w="20" w:type="dxa"/>
              <w:left w:w="20" w:type="dxa"/>
              <w:bottom w:w="0" w:type="dxa"/>
              <w:right w:w="20" w:type="dxa"/>
            </w:tcMar>
            <w:vAlign w:val="center"/>
          </w:tcPr>
          <w:p w14:paraId="07C8B731" w14:textId="77777777" w:rsidR="00291DF4" w:rsidRDefault="00291DF4" w:rsidP="00291DF4">
            <w:pPr>
              <w:rPr>
                <w:rFonts w:asciiTheme="minorHAnsi" w:hAnsiTheme="minorHAnsi" w:cstheme="minorHAnsi"/>
              </w:rPr>
            </w:pPr>
          </w:p>
        </w:tc>
      </w:tr>
      <w:tr w:rsidR="00291DF4" w14:paraId="5C18F19D" w14:textId="77777777" w:rsidTr="00291DF4">
        <w:trPr>
          <w:trHeight w:val="568"/>
        </w:trPr>
        <w:tc>
          <w:tcPr>
            <w:tcW w:w="3261" w:type="dxa"/>
            <w:shd w:val="clear" w:color="auto" w:fill="FFFFFF"/>
            <w:tcMar>
              <w:top w:w="20" w:type="dxa"/>
              <w:left w:w="20" w:type="dxa"/>
              <w:bottom w:w="0" w:type="dxa"/>
              <w:right w:w="20" w:type="dxa"/>
            </w:tcMar>
            <w:vAlign w:val="center"/>
          </w:tcPr>
          <w:p w14:paraId="06815B06" w14:textId="77777777" w:rsidR="00291DF4" w:rsidRPr="00737A02" w:rsidRDefault="00291DF4" w:rsidP="00291DF4">
            <w:pPr>
              <w:jc w:val="both"/>
              <w:rPr>
                <w:rFonts w:asciiTheme="minorHAnsi" w:hAnsiTheme="minorHAnsi" w:cstheme="minorHAnsi"/>
              </w:rPr>
            </w:pPr>
          </w:p>
        </w:tc>
        <w:tc>
          <w:tcPr>
            <w:tcW w:w="5386" w:type="dxa"/>
            <w:gridSpan w:val="2"/>
            <w:shd w:val="clear" w:color="auto" w:fill="FFFFFF"/>
            <w:tcMar>
              <w:top w:w="20" w:type="dxa"/>
              <w:left w:w="20" w:type="dxa"/>
              <w:bottom w:w="0" w:type="dxa"/>
              <w:right w:w="20" w:type="dxa"/>
            </w:tcMar>
            <w:vAlign w:val="center"/>
          </w:tcPr>
          <w:p w14:paraId="2B8DB46C" w14:textId="77777777" w:rsidR="00291DF4" w:rsidRPr="007E7C6A" w:rsidRDefault="00291DF4" w:rsidP="00291DF4">
            <w:pPr>
              <w:jc w:val="both"/>
              <w:rPr>
                <w:rFonts w:asciiTheme="minorHAnsi" w:hAnsiTheme="minorHAnsi" w:cstheme="minorHAnsi"/>
              </w:rPr>
            </w:pPr>
            <w:bookmarkStart w:id="0" w:name="_GoBack"/>
            <w:bookmarkEnd w:id="0"/>
          </w:p>
        </w:tc>
        <w:tc>
          <w:tcPr>
            <w:tcW w:w="5670" w:type="dxa"/>
            <w:shd w:val="clear" w:color="auto" w:fill="FFFFFF"/>
            <w:tcMar>
              <w:top w:w="20" w:type="dxa"/>
              <w:left w:w="20" w:type="dxa"/>
              <w:bottom w:w="0" w:type="dxa"/>
              <w:right w:w="20" w:type="dxa"/>
            </w:tcMar>
            <w:vAlign w:val="center"/>
          </w:tcPr>
          <w:p w14:paraId="764F5265" w14:textId="77777777" w:rsidR="00291DF4" w:rsidRDefault="00291DF4" w:rsidP="00291DF4">
            <w:pPr>
              <w:rPr>
                <w:rFonts w:asciiTheme="minorHAnsi" w:hAnsiTheme="minorHAnsi" w:cstheme="minorHAnsi"/>
              </w:rPr>
            </w:pPr>
          </w:p>
        </w:tc>
      </w:tr>
      <w:tr w:rsidR="00291DF4" w14:paraId="279B55CF" w14:textId="77777777" w:rsidTr="00291DF4">
        <w:trPr>
          <w:trHeight w:val="568"/>
        </w:trPr>
        <w:tc>
          <w:tcPr>
            <w:tcW w:w="3261" w:type="dxa"/>
            <w:tcBorders>
              <w:bottom w:val="single" w:sz="4" w:space="0" w:color="auto"/>
            </w:tcBorders>
            <w:shd w:val="clear" w:color="auto" w:fill="FFFFFF"/>
            <w:tcMar>
              <w:top w:w="20" w:type="dxa"/>
              <w:left w:w="20" w:type="dxa"/>
              <w:bottom w:w="0" w:type="dxa"/>
              <w:right w:w="20" w:type="dxa"/>
            </w:tcMar>
            <w:vAlign w:val="center"/>
          </w:tcPr>
          <w:p w14:paraId="074B7950" w14:textId="77777777" w:rsidR="00291DF4" w:rsidRPr="00737A02" w:rsidRDefault="00291DF4" w:rsidP="00291DF4">
            <w:pPr>
              <w:jc w:val="both"/>
              <w:rPr>
                <w:rFonts w:asciiTheme="minorHAnsi" w:hAnsiTheme="minorHAnsi" w:cstheme="minorHAnsi"/>
              </w:rPr>
            </w:pPr>
          </w:p>
        </w:tc>
        <w:tc>
          <w:tcPr>
            <w:tcW w:w="5386" w:type="dxa"/>
            <w:gridSpan w:val="2"/>
            <w:tcBorders>
              <w:bottom w:val="single" w:sz="4" w:space="0" w:color="auto"/>
            </w:tcBorders>
            <w:shd w:val="clear" w:color="auto" w:fill="FFFFFF"/>
            <w:tcMar>
              <w:top w:w="20" w:type="dxa"/>
              <w:left w:w="20" w:type="dxa"/>
              <w:bottom w:w="0" w:type="dxa"/>
              <w:right w:w="20" w:type="dxa"/>
            </w:tcMar>
            <w:vAlign w:val="center"/>
          </w:tcPr>
          <w:p w14:paraId="757996D9" w14:textId="77777777" w:rsidR="00291DF4" w:rsidRPr="007E7C6A" w:rsidRDefault="00291DF4" w:rsidP="00291DF4">
            <w:pPr>
              <w:jc w:val="both"/>
              <w:rPr>
                <w:rFonts w:asciiTheme="minorHAnsi" w:hAnsiTheme="minorHAnsi" w:cstheme="minorHAnsi"/>
              </w:rPr>
            </w:pPr>
          </w:p>
        </w:tc>
        <w:tc>
          <w:tcPr>
            <w:tcW w:w="5670" w:type="dxa"/>
            <w:tcBorders>
              <w:bottom w:val="single" w:sz="4" w:space="0" w:color="auto"/>
            </w:tcBorders>
            <w:shd w:val="clear" w:color="auto" w:fill="FFFFFF"/>
            <w:tcMar>
              <w:top w:w="20" w:type="dxa"/>
              <w:left w:w="20" w:type="dxa"/>
              <w:bottom w:w="0" w:type="dxa"/>
              <w:right w:w="20" w:type="dxa"/>
            </w:tcMar>
            <w:vAlign w:val="center"/>
          </w:tcPr>
          <w:p w14:paraId="549D0A27" w14:textId="77777777" w:rsidR="00291DF4" w:rsidRDefault="00291DF4" w:rsidP="00291DF4">
            <w:pPr>
              <w:rPr>
                <w:rFonts w:asciiTheme="minorHAnsi" w:hAnsiTheme="minorHAnsi" w:cstheme="minorHAnsi"/>
              </w:rPr>
            </w:pPr>
          </w:p>
        </w:tc>
      </w:tr>
      <w:tr w:rsidR="00291DF4" w14:paraId="3D44EB5C" w14:textId="77777777" w:rsidTr="00291DF4">
        <w:trPr>
          <w:trHeight w:val="568"/>
        </w:trPr>
        <w:tc>
          <w:tcPr>
            <w:tcW w:w="3261" w:type="dxa"/>
            <w:tcBorders>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14:paraId="3D44EB58" w14:textId="77777777" w:rsidR="00291DF4" w:rsidRPr="00737A02" w:rsidRDefault="00291DF4" w:rsidP="00291DF4">
            <w:pPr>
              <w:jc w:val="both"/>
              <w:rPr>
                <w:rFonts w:asciiTheme="minorHAnsi" w:hAnsiTheme="minorHAnsi" w:cstheme="minorHAnsi"/>
              </w:rPr>
            </w:pPr>
            <w:r w:rsidRPr="00737A02">
              <w:rPr>
                <w:rFonts w:asciiTheme="minorHAnsi" w:hAnsiTheme="minorHAnsi" w:cstheme="minorHAnsi"/>
              </w:rPr>
              <w:t>Experiência internacional em que somente combustíveis aditivados recebem a proteção da marca, pois os demais são commodities;</w:t>
            </w:r>
          </w:p>
        </w:tc>
        <w:tc>
          <w:tcPr>
            <w:tcW w:w="5386" w:type="dxa"/>
            <w:gridSpan w:val="2"/>
            <w:tcBorders>
              <w:left w:val="nil"/>
              <w:bottom w:val="single" w:sz="4" w:space="0" w:color="auto"/>
              <w:right w:val="single" w:sz="4" w:space="0" w:color="auto"/>
            </w:tcBorders>
            <w:shd w:val="clear" w:color="auto" w:fill="FFFFFF"/>
            <w:tcMar>
              <w:top w:w="20" w:type="dxa"/>
              <w:left w:w="20" w:type="dxa"/>
              <w:bottom w:w="0" w:type="dxa"/>
              <w:right w:w="20" w:type="dxa"/>
            </w:tcMar>
            <w:vAlign w:val="center"/>
          </w:tcPr>
          <w:p w14:paraId="3D44EB59" w14:textId="77777777" w:rsidR="00291DF4" w:rsidRPr="00E50EF5" w:rsidRDefault="00291DF4" w:rsidP="00291DF4">
            <w:pPr>
              <w:jc w:val="both"/>
              <w:rPr>
                <w:rFonts w:asciiTheme="minorHAnsi" w:hAnsiTheme="minorHAnsi" w:cs="Arial"/>
                <w:color w:val="333333"/>
              </w:rPr>
            </w:pPr>
            <w:r w:rsidRPr="007E7C6A">
              <w:rPr>
                <w:rFonts w:asciiTheme="minorHAnsi" w:hAnsiTheme="minorHAnsi" w:cstheme="minorHAnsi"/>
              </w:rPr>
              <w:t xml:space="preserve">Manter </w:t>
            </w:r>
            <w:r>
              <w:rPr>
                <w:rFonts w:asciiTheme="minorHAnsi" w:hAnsiTheme="minorHAnsi" w:cstheme="minorHAnsi"/>
              </w:rPr>
              <w:t>inalterados os dispositivos regulatórios em vigor</w:t>
            </w:r>
          </w:p>
          <w:p w14:paraId="3D44EB5A" w14:textId="77777777" w:rsidR="00291DF4" w:rsidRPr="00737A02" w:rsidRDefault="00291DF4" w:rsidP="00291DF4">
            <w:pPr>
              <w:jc w:val="center"/>
              <w:rPr>
                <w:rFonts w:asciiTheme="minorHAnsi" w:hAnsiTheme="minorHAnsi" w:cstheme="minorHAnsi"/>
              </w:rPr>
            </w:pPr>
          </w:p>
        </w:tc>
        <w:tc>
          <w:tcPr>
            <w:tcW w:w="5670" w:type="dxa"/>
            <w:tcBorders>
              <w:left w:val="nil"/>
              <w:bottom w:val="single" w:sz="4" w:space="0" w:color="auto"/>
              <w:right w:val="single" w:sz="4" w:space="0" w:color="auto"/>
            </w:tcBorders>
            <w:shd w:val="clear" w:color="auto" w:fill="FFFFFF"/>
            <w:tcMar>
              <w:top w:w="20" w:type="dxa"/>
              <w:left w:w="20" w:type="dxa"/>
              <w:bottom w:w="0" w:type="dxa"/>
              <w:right w:w="20" w:type="dxa"/>
            </w:tcMar>
            <w:vAlign w:val="center"/>
          </w:tcPr>
          <w:p w14:paraId="30F2F50F" w14:textId="77777777" w:rsidR="00291DF4" w:rsidRDefault="00291DF4" w:rsidP="00291DF4">
            <w:pPr>
              <w:rPr>
                <w:rFonts w:asciiTheme="minorHAnsi" w:hAnsiTheme="minorHAnsi" w:cstheme="minorHAnsi"/>
              </w:rPr>
            </w:pPr>
          </w:p>
          <w:p w14:paraId="109C2B94" w14:textId="4FDADDFA" w:rsidR="00291DF4" w:rsidRDefault="00291DF4" w:rsidP="00291DF4">
            <w:pPr>
              <w:rPr>
                <w:rFonts w:asciiTheme="minorHAnsi" w:hAnsiTheme="minorHAnsi" w:cstheme="minorHAnsi"/>
              </w:rPr>
            </w:pPr>
            <w:r>
              <w:rPr>
                <w:rFonts w:asciiTheme="minorHAnsi" w:hAnsiTheme="minorHAnsi" w:cstheme="minorHAnsi"/>
              </w:rPr>
              <w:t>Em nosso entender, cremos que o mercado não está pronto para este tipo de alteração e que demanda uma discussão maior e com muito mais tempo no futuro, inclusive com a correta verificação e comprovação da citada “experiência internacional”.</w:t>
            </w:r>
          </w:p>
          <w:p w14:paraId="0EA46649" w14:textId="77777777" w:rsidR="00291DF4" w:rsidRDefault="00291DF4" w:rsidP="00291DF4">
            <w:pPr>
              <w:rPr>
                <w:rFonts w:asciiTheme="minorHAnsi" w:hAnsiTheme="minorHAnsi" w:cstheme="minorHAnsi"/>
              </w:rPr>
            </w:pPr>
          </w:p>
          <w:p w14:paraId="4377A64B" w14:textId="77777777" w:rsidR="00291DF4" w:rsidRDefault="00291DF4" w:rsidP="00291DF4">
            <w:pPr>
              <w:rPr>
                <w:rFonts w:asciiTheme="minorHAnsi" w:hAnsiTheme="minorHAnsi" w:cstheme="minorHAnsi"/>
              </w:rPr>
            </w:pPr>
            <w:proofErr w:type="spellStart"/>
            <w:r>
              <w:rPr>
                <w:rFonts w:asciiTheme="minorHAnsi" w:hAnsiTheme="minorHAnsi" w:cstheme="minorHAnsi"/>
              </w:rPr>
              <w:t>Reportamono-nos</w:t>
            </w:r>
            <w:proofErr w:type="spellEnd"/>
            <w:r>
              <w:rPr>
                <w:rFonts w:asciiTheme="minorHAnsi" w:hAnsiTheme="minorHAnsi" w:cstheme="minorHAnsi"/>
              </w:rPr>
              <w:t xml:space="preserve"> aos comentários incluídos na justificativa em relação ao primeiro item deste formulário</w:t>
            </w:r>
          </w:p>
          <w:p w14:paraId="3D44EB5B" w14:textId="59F5BD9A" w:rsidR="00291DF4" w:rsidRPr="00737A02" w:rsidRDefault="00291DF4" w:rsidP="00291DF4">
            <w:pPr>
              <w:rPr>
                <w:rFonts w:asciiTheme="minorHAnsi" w:hAnsiTheme="minorHAnsi" w:cstheme="minorHAnsi"/>
              </w:rPr>
            </w:pPr>
          </w:p>
        </w:tc>
      </w:tr>
    </w:tbl>
    <w:p w14:paraId="3D44EB5D" w14:textId="77777777" w:rsidR="004602FD" w:rsidRPr="00100689" w:rsidRDefault="00100689" w:rsidP="00100689">
      <w:pPr>
        <w:jc w:val="center"/>
        <w:rPr>
          <w:sz w:val="26"/>
          <w:szCs w:val="26"/>
        </w:rPr>
      </w:pPr>
      <w:r>
        <w:rPr>
          <w:rFonts w:ascii="Arial" w:eastAsia="Arial Unicode MS" w:hAnsi="Arial" w:cs="Arial"/>
          <w:sz w:val="24"/>
          <w:szCs w:val="24"/>
        </w:rPr>
        <w:t xml:space="preserve">Este formulário deverá ser encaminhado à ANP para o endereço eletrônico: </w:t>
      </w:r>
      <w:r w:rsidR="00C96874" w:rsidRPr="00C96874">
        <w:rPr>
          <w:rFonts w:ascii="Arial" w:eastAsia="Arial Unicode MS" w:hAnsi="Arial" w:cs="Arial"/>
          <w:i/>
          <w:sz w:val="24"/>
          <w:szCs w:val="24"/>
        </w:rPr>
        <w:t>tpc_fidelidade_bandeira@anp.gov.br</w:t>
      </w:r>
      <w:r w:rsidR="00570C4C">
        <w:rPr>
          <w:rFonts w:ascii="Arial" w:eastAsia="Arial Unicode MS" w:hAnsi="Arial" w:cs="Arial"/>
          <w:sz w:val="24"/>
          <w:szCs w:val="24"/>
        </w:rPr>
        <w:t>.</w:t>
      </w:r>
    </w:p>
    <w:sectPr w:rsidR="004602FD" w:rsidRPr="00100689" w:rsidSect="00291DF4">
      <w:pgSz w:w="16840" w:h="11907" w:orient="landscape" w:code="9"/>
      <w:pgMar w:top="1418"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DB4EBB"/>
    <w:multiLevelType w:val="hybridMultilevel"/>
    <w:tmpl w:val="A3BE2A2E"/>
    <w:lvl w:ilvl="0" w:tplc="914457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171446"/>
    <w:multiLevelType w:val="multilevel"/>
    <w:tmpl w:val="7B283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01E383C"/>
    <w:multiLevelType w:val="hybridMultilevel"/>
    <w:tmpl w:val="FB6AAA9A"/>
    <w:lvl w:ilvl="0" w:tplc="CF267D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1813C9"/>
    <w:multiLevelType w:val="multilevel"/>
    <w:tmpl w:val="DF6E21D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42C"/>
    <w:rsid w:val="000303C4"/>
    <w:rsid w:val="00050F3F"/>
    <w:rsid w:val="000873C6"/>
    <w:rsid w:val="0009004A"/>
    <w:rsid w:val="000C72BB"/>
    <w:rsid w:val="000C742C"/>
    <w:rsid w:val="000F43D7"/>
    <w:rsid w:val="00100689"/>
    <w:rsid w:val="0010535D"/>
    <w:rsid w:val="001312BC"/>
    <w:rsid w:val="00153BBA"/>
    <w:rsid w:val="00160BBE"/>
    <w:rsid w:val="001634DC"/>
    <w:rsid w:val="001C5D32"/>
    <w:rsid w:val="001E0986"/>
    <w:rsid w:val="001F74A0"/>
    <w:rsid w:val="002109D6"/>
    <w:rsid w:val="0026582D"/>
    <w:rsid w:val="002808DC"/>
    <w:rsid w:val="00287B41"/>
    <w:rsid w:val="00291DF4"/>
    <w:rsid w:val="00335A11"/>
    <w:rsid w:val="004017EF"/>
    <w:rsid w:val="00452D91"/>
    <w:rsid w:val="004602FD"/>
    <w:rsid w:val="00482F43"/>
    <w:rsid w:val="00493192"/>
    <w:rsid w:val="00494A88"/>
    <w:rsid w:val="004C5AA8"/>
    <w:rsid w:val="004E6BA1"/>
    <w:rsid w:val="005443AF"/>
    <w:rsid w:val="00570C4C"/>
    <w:rsid w:val="00586DD3"/>
    <w:rsid w:val="005B7217"/>
    <w:rsid w:val="005E2BE6"/>
    <w:rsid w:val="0060445D"/>
    <w:rsid w:val="0063117B"/>
    <w:rsid w:val="006C26D9"/>
    <w:rsid w:val="006C7878"/>
    <w:rsid w:val="006D3752"/>
    <w:rsid w:val="006D7DB4"/>
    <w:rsid w:val="006E69BF"/>
    <w:rsid w:val="007220DF"/>
    <w:rsid w:val="00735912"/>
    <w:rsid w:val="00737A02"/>
    <w:rsid w:val="00747263"/>
    <w:rsid w:val="00754009"/>
    <w:rsid w:val="00762754"/>
    <w:rsid w:val="007E7C6A"/>
    <w:rsid w:val="00834A5C"/>
    <w:rsid w:val="0085243A"/>
    <w:rsid w:val="00852D24"/>
    <w:rsid w:val="00892504"/>
    <w:rsid w:val="008C0A6C"/>
    <w:rsid w:val="008E1D4F"/>
    <w:rsid w:val="009A7203"/>
    <w:rsid w:val="009B4815"/>
    <w:rsid w:val="009E5AD5"/>
    <w:rsid w:val="009F4F0E"/>
    <w:rsid w:val="00A225FB"/>
    <w:rsid w:val="00A44544"/>
    <w:rsid w:val="00A8005F"/>
    <w:rsid w:val="00A935CB"/>
    <w:rsid w:val="00A94E85"/>
    <w:rsid w:val="00AC5BC1"/>
    <w:rsid w:val="00AF2899"/>
    <w:rsid w:val="00B4490B"/>
    <w:rsid w:val="00B74C89"/>
    <w:rsid w:val="00B87441"/>
    <w:rsid w:val="00BB004F"/>
    <w:rsid w:val="00BC59FF"/>
    <w:rsid w:val="00BD479F"/>
    <w:rsid w:val="00BD5993"/>
    <w:rsid w:val="00C13A89"/>
    <w:rsid w:val="00C74BAD"/>
    <w:rsid w:val="00C96874"/>
    <w:rsid w:val="00CA7174"/>
    <w:rsid w:val="00CA75BB"/>
    <w:rsid w:val="00CB4E90"/>
    <w:rsid w:val="00CC5472"/>
    <w:rsid w:val="00CD7D9E"/>
    <w:rsid w:val="00CF2605"/>
    <w:rsid w:val="00CF534B"/>
    <w:rsid w:val="00D060D3"/>
    <w:rsid w:val="00D11D93"/>
    <w:rsid w:val="00D81C65"/>
    <w:rsid w:val="00DC0FFA"/>
    <w:rsid w:val="00DE64B2"/>
    <w:rsid w:val="00E06319"/>
    <w:rsid w:val="00E50EF5"/>
    <w:rsid w:val="00E51418"/>
    <w:rsid w:val="00EA1B67"/>
    <w:rsid w:val="00ED7714"/>
    <w:rsid w:val="00F026F8"/>
    <w:rsid w:val="00F229D8"/>
    <w:rsid w:val="00F84BAF"/>
    <w:rsid w:val="00F87981"/>
    <w:rsid w:val="00FB0E77"/>
    <w:rsid w:val="00FC6EB4"/>
    <w:rsid w:val="00FD2C11"/>
    <w:rsid w:val="00FD3A8A"/>
    <w:rsid w:val="00FD66A5"/>
    <w:rsid w:val="00FF4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D44EB30"/>
  <w15:docId w15:val="{F96547EC-0D88-5649-8658-603C5FB89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2B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CF2605"/>
    <w:pPr>
      <w:autoSpaceDE w:val="0"/>
      <w:autoSpaceDN w:val="0"/>
      <w:adjustRightInd w:val="0"/>
      <w:jc w:val="both"/>
    </w:pPr>
    <w:rPr>
      <w:color w:val="000000"/>
      <w:sz w:val="24"/>
      <w:szCs w:val="24"/>
    </w:rPr>
  </w:style>
  <w:style w:type="character" w:customStyle="1" w:styleId="BodyTextChar">
    <w:name w:val="Body Text Char"/>
    <w:basedOn w:val="DefaultParagraphFont"/>
    <w:link w:val="BodyText"/>
    <w:semiHidden/>
    <w:rsid w:val="00CF2605"/>
    <w:rPr>
      <w:color w:val="000000"/>
      <w:sz w:val="24"/>
      <w:szCs w:val="24"/>
    </w:rPr>
  </w:style>
  <w:style w:type="paragraph" w:styleId="Caption">
    <w:name w:val="caption"/>
    <w:basedOn w:val="Normal"/>
    <w:next w:val="Normal"/>
    <w:qFormat/>
    <w:rsid w:val="00BD5993"/>
    <w:rPr>
      <w:rFonts w:ascii="Arial" w:hAnsi="Arial"/>
      <w:sz w:val="24"/>
    </w:rPr>
  </w:style>
  <w:style w:type="character" w:styleId="Hyperlink">
    <w:name w:val="Hyperlink"/>
    <w:basedOn w:val="DefaultParagraphFont"/>
    <w:uiPriority w:val="99"/>
    <w:unhideWhenUsed/>
    <w:rsid w:val="00100689"/>
    <w:rPr>
      <w:color w:val="0000FF"/>
      <w:u w:val="single"/>
    </w:rPr>
  </w:style>
  <w:style w:type="paragraph" w:styleId="ListParagraph">
    <w:name w:val="List Paragraph"/>
    <w:basedOn w:val="Normal"/>
    <w:uiPriority w:val="34"/>
    <w:qFormat/>
    <w:rsid w:val="001634DC"/>
    <w:pPr>
      <w:ind w:left="720"/>
      <w:contextualSpacing/>
    </w:pPr>
  </w:style>
  <w:style w:type="character" w:styleId="Strong">
    <w:name w:val="Strong"/>
    <w:basedOn w:val="DefaultParagraphFont"/>
    <w:uiPriority w:val="22"/>
    <w:qFormat/>
    <w:rsid w:val="006D7D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500</Words>
  <Characters>3120</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CONSULTA PÚBLICA PARA REVISÃO DA PORTARIA ANP 248/99</vt:lpstr>
      <vt:lpstr>CONSULTA PÚBLICA PARA REVISÃO DA PORTARIA ANP 248/99</vt:lpstr>
    </vt:vector>
  </TitlesOfParts>
  <Company>Anp</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 PÚBLICA PARA REVISÃO DA PORTARIA ANP 248/99</dc:title>
  <dc:creator>Anp</dc:creator>
  <cp:lastModifiedBy>Sergio Massillon Martins</cp:lastModifiedBy>
  <cp:revision>4</cp:revision>
  <cp:lastPrinted>2010-12-28T18:08:00Z</cp:lastPrinted>
  <dcterms:created xsi:type="dcterms:W3CDTF">2018-11-18T11:50:00Z</dcterms:created>
  <dcterms:modified xsi:type="dcterms:W3CDTF">2018-11-18T17:57:00Z</dcterms:modified>
</cp:coreProperties>
</file>